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1e21"/>
        </w:rPr>
      </w:pPr>
      <w:r w:rsidDel="00000000" w:rsidR="00000000" w:rsidRPr="00000000">
        <w:rPr>
          <w:b w:val="1"/>
          <w:color w:val="1c1e21"/>
          <w:rtl w:val="0"/>
        </w:rPr>
        <w:t xml:space="preserve">NAI TEMPLATE STATE PRIVACY LAW PROCESSING ADDENDUM (WORKING DRAFT)</w:t>
      </w:r>
    </w:p>
    <w:p w:rsidR="00000000" w:rsidDel="00000000" w:rsidP="00000000" w:rsidRDefault="00000000" w:rsidRPr="00000000" w14:paraId="00000002">
      <w:pPr>
        <w:jc w:val="center"/>
        <w:rPr>
          <w:b w:val="1"/>
          <w:color w:val="1c1e21"/>
        </w:rPr>
      </w:pPr>
      <w:r w:rsidDel="00000000" w:rsidR="00000000" w:rsidRPr="00000000">
        <w:rPr>
          <w:rtl w:val="0"/>
        </w:rPr>
      </w:r>
    </w:p>
    <w:p w:rsidR="00000000" w:rsidDel="00000000" w:rsidP="00000000" w:rsidRDefault="00000000" w:rsidRPr="00000000" w14:paraId="00000003">
      <w:pPr>
        <w:rPr>
          <w:b w:val="1"/>
          <w:color w:val="1c1e21"/>
        </w:rPr>
      </w:pPr>
      <w:hyperlink w:anchor="gjdgxs">
        <w:r w:rsidDel="00000000" w:rsidR="00000000" w:rsidRPr="00000000">
          <w:rPr>
            <w:b w:val="1"/>
            <w:color w:val="0000ff"/>
            <w:u w:val="single"/>
            <w:rtl w:val="0"/>
          </w:rPr>
          <w:t xml:space="preserve">Part 1: Purpose &amp; Summary</w:t>
        </w:r>
      </w:hyperlink>
      <w:r w:rsidDel="00000000" w:rsidR="00000000" w:rsidRPr="00000000">
        <w:rPr>
          <w:rtl w:val="0"/>
        </w:rPr>
      </w:r>
    </w:p>
    <w:p w:rsidR="00000000" w:rsidDel="00000000" w:rsidP="00000000" w:rsidRDefault="00000000" w:rsidRPr="00000000" w14:paraId="00000004">
      <w:pPr>
        <w:rPr>
          <w:b w:val="1"/>
          <w:color w:val="1c1e21"/>
        </w:rPr>
      </w:pPr>
      <w:hyperlink w:anchor="1fob9te">
        <w:r w:rsidDel="00000000" w:rsidR="00000000" w:rsidRPr="00000000">
          <w:rPr>
            <w:b w:val="1"/>
            <w:color w:val="0000ff"/>
            <w:u w:val="single"/>
            <w:rtl w:val="0"/>
          </w:rPr>
          <w:t xml:space="preserve">Part 2: Draft Text of Addendum</w:t>
        </w:r>
      </w:hyperlink>
      <w:r w:rsidDel="00000000" w:rsidR="00000000" w:rsidRPr="00000000">
        <w:rPr>
          <w:rtl w:val="0"/>
        </w:rPr>
      </w:r>
    </w:p>
    <w:p w:rsidR="00000000" w:rsidDel="00000000" w:rsidP="00000000" w:rsidRDefault="00000000" w:rsidRPr="00000000" w14:paraId="00000005">
      <w:pPr>
        <w:jc w:val="center"/>
        <w:rPr>
          <w:b w:val="1"/>
          <w:color w:val="1c1e21"/>
        </w:rPr>
      </w:pPr>
      <w:r w:rsidDel="00000000" w:rsidR="00000000" w:rsidRPr="00000000">
        <w:rPr>
          <w:rtl w:val="0"/>
        </w:rPr>
      </w:r>
    </w:p>
    <w:bookmarkStart w:colFirst="0" w:colLast="0" w:name="gjdgxs" w:id="0"/>
    <w:bookmarkEnd w:id="0"/>
    <w:p w:rsidR="00000000" w:rsidDel="00000000" w:rsidP="00000000" w:rsidRDefault="00000000" w:rsidRPr="00000000" w14:paraId="00000006">
      <w:pPr>
        <w:rPr>
          <w:b w:val="1"/>
          <w:color w:val="1c1e21"/>
        </w:rPr>
      </w:pPr>
      <w:r w:rsidDel="00000000" w:rsidR="00000000" w:rsidRPr="00000000">
        <w:rPr>
          <w:b w:val="1"/>
          <w:color w:val="1c1e21"/>
          <w:rtl w:val="0"/>
        </w:rPr>
        <w:t xml:space="preserve">1. Purpose &amp; Summary</w:t>
      </w:r>
    </w:p>
    <w:p w:rsidR="00000000" w:rsidDel="00000000" w:rsidP="00000000" w:rsidRDefault="00000000" w:rsidRPr="00000000" w14:paraId="00000007">
      <w:pPr>
        <w:rPr>
          <w:color w:val="1c1e21"/>
          <w:sz w:val="21"/>
          <w:szCs w:val="21"/>
        </w:rPr>
      </w:pPr>
      <w:bookmarkStart w:colFirst="0" w:colLast="0" w:name="_30j0zll" w:id="1"/>
      <w:bookmarkEnd w:id="1"/>
      <w:r w:rsidDel="00000000" w:rsidR="00000000" w:rsidRPr="00000000">
        <w:rPr>
          <w:rtl w:val="0"/>
        </w:rPr>
      </w:r>
    </w:p>
    <w:p w:rsidR="00000000" w:rsidDel="00000000" w:rsidP="00000000" w:rsidRDefault="00000000" w:rsidRPr="00000000" w14:paraId="00000008">
      <w:pPr>
        <w:rPr>
          <w:b w:val="1"/>
          <w:color w:val="1c1e21"/>
          <w:sz w:val="21"/>
          <w:szCs w:val="21"/>
        </w:rPr>
      </w:pPr>
      <w:r w:rsidDel="00000000" w:rsidR="00000000" w:rsidRPr="00000000">
        <w:rPr>
          <w:b w:val="1"/>
          <w:color w:val="1c1e21"/>
          <w:sz w:val="21"/>
          <w:szCs w:val="21"/>
          <w:rtl w:val="0"/>
        </w:rPr>
        <w:t xml:space="preserve">What problem are we trying to address?</w:t>
      </w:r>
    </w:p>
    <w:p w:rsidR="00000000" w:rsidDel="00000000" w:rsidP="00000000" w:rsidRDefault="00000000" w:rsidRPr="00000000" w14:paraId="00000009">
      <w:pPr>
        <w:rPr>
          <w:color w:val="1c1e21"/>
          <w:sz w:val="21"/>
          <w:szCs w:val="21"/>
        </w:rPr>
      </w:pPr>
      <w:r w:rsidDel="00000000" w:rsidR="00000000" w:rsidRPr="00000000">
        <w:rPr>
          <w:rtl w:val="0"/>
        </w:rPr>
      </w:r>
    </w:p>
    <w:p w:rsidR="00000000" w:rsidDel="00000000" w:rsidP="00000000" w:rsidRDefault="00000000" w:rsidRPr="00000000" w14:paraId="0000000A">
      <w:pPr>
        <w:rPr>
          <w:color w:val="1c1e21"/>
          <w:sz w:val="21"/>
          <w:szCs w:val="21"/>
        </w:rPr>
      </w:pPr>
      <w:r w:rsidDel="00000000" w:rsidR="00000000" w:rsidRPr="00000000">
        <w:rPr>
          <w:color w:val="1c1e21"/>
          <w:sz w:val="21"/>
          <w:szCs w:val="21"/>
          <w:rtl w:val="0"/>
        </w:rPr>
        <w:t xml:space="preserve">The host of state laws taking effect in 2023 impose numerous requirements for contracting with both service providers and third parties. In addition, those transacting in the ad tech space sometimes act as service providers/processors (such as when a user is opted out, or to perform basic ads functions) and sometimes act as third parties (such as where they engage in targeted advertising) and need a consistent set of rules and contractual obligations for signaling where they play each role and what obligations they undertake for each. The set of terms below is intended to be a model that NAI members and others can use to comply with these new state laws with respect to transfers of data to other entities. </w:t>
      </w:r>
    </w:p>
    <w:p w:rsidR="00000000" w:rsidDel="00000000" w:rsidP="00000000" w:rsidRDefault="00000000" w:rsidRPr="00000000" w14:paraId="0000000B">
      <w:pPr>
        <w:rPr>
          <w:color w:val="1c1e21"/>
          <w:sz w:val="21"/>
          <w:szCs w:val="21"/>
        </w:rPr>
      </w:pPr>
      <w:r w:rsidDel="00000000" w:rsidR="00000000" w:rsidRPr="00000000">
        <w:rPr>
          <w:rtl w:val="0"/>
        </w:rPr>
      </w:r>
    </w:p>
    <w:p w:rsidR="00000000" w:rsidDel="00000000" w:rsidP="00000000" w:rsidRDefault="00000000" w:rsidRPr="00000000" w14:paraId="0000000C">
      <w:pPr>
        <w:rPr>
          <w:b w:val="1"/>
          <w:color w:val="1c1e21"/>
          <w:sz w:val="21"/>
          <w:szCs w:val="21"/>
        </w:rPr>
      </w:pPr>
      <w:r w:rsidDel="00000000" w:rsidR="00000000" w:rsidRPr="00000000">
        <w:rPr>
          <w:b w:val="1"/>
          <w:color w:val="1c1e21"/>
          <w:sz w:val="21"/>
          <w:szCs w:val="21"/>
          <w:rtl w:val="0"/>
        </w:rPr>
        <w:t xml:space="preserve">What does this set of terms cover?</w:t>
      </w:r>
    </w:p>
    <w:p w:rsidR="00000000" w:rsidDel="00000000" w:rsidP="00000000" w:rsidRDefault="00000000" w:rsidRPr="00000000" w14:paraId="0000000D">
      <w:pPr>
        <w:rPr>
          <w:color w:val="1c1e21"/>
          <w:sz w:val="21"/>
          <w:szCs w:val="21"/>
        </w:rPr>
      </w:pPr>
      <w:r w:rsidDel="00000000" w:rsidR="00000000" w:rsidRPr="00000000">
        <w:rPr>
          <w:rtl w:val="0"/>
        </w:rPr>
      </w:r>
    </w:p>
    <w:p w:rsidR="00000000" w:rsidDel="00000000" w:rsidP="00000000" w:rsidRDefault="00000000" w:rsidRPr="00000000" w14:paraId="0000000E">
      <w:pPr>
        <w:rPr>
          <w:color w:val="1c1e21"/>
          <w:sz w:val="21"/>
          <w:szCs w:val="21"/>
        </w:rPr>
      </w:pPr>
      <w:r w:rsidDel="00000000" w:rsidR="00000000" w:rsidRPr="00000000">
        <w:rPr>
          <w:color w:val="1c1e21"/>
          <w:sz w:val="21"/>
          <w:szCs w:val="21"/>
          <w:rtl w:val="0"/>
        </w:rPr>
        <w:t xml:space="preserve">The terms are </w:t>
      </w:r>
      <w:r w:rsidDel="00000000" w:rsidR="00000000" w:rsidRPr="00000000">
        <w:rPr>
          <w:color w:val="1c1e21"/>
          <w:sz w:val="21"/>
          <w:szCs w:val="21"/>
          <w:u w:val="single"/>
          <w:rtl w:val="0"/>
        </w:rPr>
        <w:t xml:space="preserve">limited to use for advertising-related purposes in the United States</w:t>
      </w:r>
      <w:r w:rsidDel="00000000" w:rsidR="00000000" w:rsidRPr="00000000">
        <w:rPr>
          <w:color w:val="1c1e21"/>
          <w:sz w:val="21"/>
          <w:szCs w:val="21"/>
          <w:rtl w:val="0"/>
        </w:rPr>
        <w:t xml:space="preserve"> including RTB transactions, upload of or collection of personal information for purposes of showing targeted ads on other sites or services, displaying ads on publisher sites, or for ad measurement or other ads-related purposes. The terms do </w:t>
      </w:r>
      <w:r w:rsidDel="00000000" w:rsidR="00000000" w:rsidRPr="00000000">
        <w:rPr>
          <w:color w:val="1c1e21"/>
          <w:sz w:val="21"/>
          <w:szCs w:val="21"/>
          <w:u w:val="single"/>
          <w:rtl w:val="0"/>
        </w:rPr>
        <w:t xml:space="preserve">not</w:t>
      </w:r>
      <w:r w:rsidDel="00000000" w:rsidR="00000000" w:rsidRPr="00000000">
        <w:rPr>
          <w:color w:val="1c1e21"/>
          <w:sz w:val="21"/>
          <w:szCs w:val="21"/>
          <w:rtl w:val="0"/>
        </w:rPr>
        <w:t xml:space="preserve"> address the use of sensitive information, including processes for obtaining or passing consent to process sensitive information.</w:t>
      </w:r>
    </w:p>
    <w:p w:rsidR="00000000" w:rsidDel="00000000" w:rsidP="00000000" w:rsidRDefault="00000000" w:rsidRPr="00000000" w14:paraId="0000000F">
      <w:pPr>
        <w:rPr>
          <w:color w:val="1c1e21"/>
          <w:sz w:val="21"/>
          <w:szCs w:val="21"/>
        </w:rPr>
      </w:pPr>
      <w:r w:rsidDel="00000000" w:rsidR="00000000" w:rsidRPr="00000000">
        <w:rPr>
          <w:rtl w:val="0"/>
        </w:rPr>
      </w:r>
    </w:p>
    <w:p w:rsidR="00000000" w:rsidDel="00000000" w:rsidP="00000000" w:rsidRDefault="00000000" w:rsidRPr="00000000" w14:paraId="00000010">
      <w:pPr>
        <w:rPr>
          <w:b w:val="1"/>
          <w:color w:val="1c1e21"/>
          <w:sz w:val="21"/>
          <w:szCs w:val="21"/>
        </w:rPr>
      </w:pPr>
      <w:r w:rsidDel="00000000" w:rsidR="00000000" w:rsidRPr="00000000">
        <w:rPr>
          <w:b w:val="1"/>
          <w:color w:val="1c1e21"/>
          <w:sz w:val="21"/>
          <w:szCs w:val="21"/>
          <w:rtl w:val="0"/>
        </w:rPr>
        <w:t xml:space="preserve">How should this template be used?</w:t>
      </w:r>
    </w:p>
    <w:p w:rsidR="00000000" w:rsidDel="00000000" w:rsidP="00000000" w:rsidRDefault="00000000" w:rsidRPr="00000000" w14:paraId="00000011">
      <w:pPr>
        <w:rPr>
          <w:color w:val="1c1e21"/>
          <w:sz w:val="21"/>
          <w:szCs w:val="21"/>
        </w:rPr>
      </w:pPr>
      <w:r w:rsidDel="00000000" w:rsidR="00000000" w:rsidRPr="00000000">
        <w:rPr>
          <w:rtl w:val="0"/>
        </w:rPr>
      </w:r>
    </w:p>
    <w:p w:rsidR="00000000" w:rsidDel="00000000" w:rsidP="00000000" w:rsidRDefault="00000000" w:rsidRPr="00000000" w14:paraId="00000012">
      <w:pPr>
        <w:numPr>
          <w:ilvl w:val="0"/>
          <w:numId w:val="2"/>
        </w:numPr>
        <w:ind w:left="720" w:hanging="360"/>
        <w:rPr>
          <w:rFonts w:ascii="Roboto" w:cs="Roboto" w:eastAsia="Roboto" w:hAnsi="Roboto"/>
          <w:color w:val="1c1e21"/>
          <w:sz w:val="21"/>
          <w:szCs w:val="21"/>
        </w:rPr>
      </w:pPr>
      <w:r w:rsidDel="00000000" w:rsidR="00000000" w:rsidRPr="00000000">
        <w:rPr>
          <w:color w:val="1c1e21"/>
          <w:sz w:val="21"/>
          <w:szCs w:val="21"/>
          <w:rtl w:val="0"/>
        </w:rPr>
        <w:t xml:space="preserve">These terms are intended to supplement an underlying agreement between the parties and </w:t>
      </w:r>
      <w:r w:rsidDel="00000000" w:rsidR="00000000" w:rsidRPr="00000000">
        <w:rPr>
          <w:b w:val="1"/>
          <w:color w:val="1c1e21"/>
          <w:sz w:val="21"/>
          <w:szCs w:val="21"/>
          <w:u w:val="single"/>
          <w:rtl w:val="0"/>
        </w:rPr>
        <w:t xml:space="preserve">not </w:t>
      </w:r>
      <w:r w:rsidDel="00000000" w:rsidR="00000000" w:rsidRPr="00000000">
        <w:rPr>
          <w:color w:val="1c1e21"/>
          <w:sz w:val="21"/>
          <w:szCs w:val="21"/>
          <w:rtl w:val="0"/>
        </w:rPr>
        <w:t xml:space="preserve">to cover the full scope of the parties’ relationship, to impose commercial terms, or to allocate liability. </w:t>
      </w:r>
    </w:p>
    <w:p w:rsidR="00000000" w:rsidDel="00000000" w:rsidP="00000000" w:rsidRDefault="00000000" w:rsidRPr="00000000" w14:paraId="00000013">
      <w:pPr>
        <w:numPr>
          <w:ilvl w:val="0"/>
          <w:numId w:val="2"/>
        </w:numPr>
        <w:ind w:left="720" w:hanging="360"/>
        <w:rPr>
          <w:color w:val="1c1e21"/>
          <w:sz w:val="21"/>
          <w:szCs w:val="21"/>
        </w:rPr>
      </w:pPr>
      <w:r w:rsidDel="00000000" w:rsidR="00000000" w:rsidRPr="00000000">
        <w:rPr>
          <w:color w:val="1c1e21"/>
          <w:sz w:val="21"/>
          <w:szCs w:val="21"/>
          <w:rtl w:val="0"/>
        </w:rPr>
        <w:t xml:space="preserve">While the parties may update the names of the parties as they wish, the default phrasing allows either party to act as either a disclosing party or a receiving party.</w:t>
      </w:r>
    </w:p>
    <w:p w:rsidR="00000000" w:rsidDel="00000000" w:rsidP="00000000" w:rsidRDefault="00000000" w:rsidRPr="00000000" w14:paraId="00000014">
      <w:pPr>
        <w:rPr>
          <w:color w:val="1c1e21"/>
          <w:sz w:val="21"/>
          <w:szCs w:val="21"/>
          <w:u w:val="single"/>
        </w:rPr>
      </w:pPr>
      <w:r w:rsidDel="00000000" w:rsidR="00000000" w:rsidRPr="00000000">
        <w:rPr>
          <w:rtl w:val="0"/>
        </w:rPr>
      </w:r>
    </w:p>
    <w:p w:rsidR="00000000" w:rsidDel="00000000" w:rsidP="00000000" w:rsidRDefault="00000000" w:rsidRPr="00000000" w14:paraId="00000015">
      <w:pPr>
        <w:rPr>
          <w:b w:val="1"/>
          <w:color w:val="1c1e21"/>
          <w:sz w:val="21"/>
          <w:szCs w:val="21"/>
        </w:rPr>
      </w:pPr>
      <w:r w:rsidDel="00000000" w:rsidR="00000000" w:rsidRPr="00000000">
        <w:rPr>
          <w:b w:val="1"/>
          <w:color w:val="1c1e21"/>
          <w:sz w:val="21"/>
          <w:szCs w:val="21"/>
          <w:rtl w:val="0"/>
        </w:rPr>
        <w:t xml:space="preserve">What this template is </w:t>
      </w:r>
      <w:r w:rsidDel="00000000" w:rsidR="00000000" w:rsidRPr="00000000">
        <w:rPr>
          <w:b w:val="1"/>
          <w:color w:val="1c1e21"/>
          <w:sz w:val="21"/>
          <w:szCs w:val="21"/>
          <w:u w:val="single"/>
          <w:rtl w:val="0"/>
        </w:rPr>
        <w:t xml:space="preserve">not</w:t>
      </w:r>
      <w:r w:rsidDel="00000000" w:rsidR="00000000" w:rsidRPr="00000000">
        <w:rPr>
          <w:b w:val="1"/>
          <w:color w:val="1c1e21"/>
          <w:sz w:val="21"/>
          <w:szCs w:val="21"/>
          <w:rtl w:val="0"/>
        </w:rPr>
        <w:t xml:space="preserve"> intended to do?</w:t>
      </w:r>
    </w:p>
    <w:p w:rsidR="00000000" w:rsidDel="00000000" w:rsidP="00000000" w:rsidRDefault="00000000" w:rsidRPr="00000000" w14:paraId="00000016">
      <w:pPr>
        <w:rPr>
          <w:color w:val="1c1e21"/>
          <w:sz w:val="21"/>
          <w:szCs w:val="21"/>
          <w:u w:val="single"/>
        </w:rPr>
      </w:pPr>
      <w:r w:rsidDel="00000000" w:rsidR="00000000" w:rsidRPr="00000000">
        <w:rPr>
          <w:rtl w:val="0"/>
        </w:rPr>
      </w:r>
    </w:p>
    <w:p w:rsidR="00000000" w:rsidDel="00000000" w:rsidP="00000000" w:rsidRDefault="00000000" w:rsidRPr="00000000" w14:paraId="00000017">
      <w:pPr>
        <w:numPr>
          <w:ilvl w:val="0"/>
          <w:numId w:val="1"/>
        </w:numPr>
        <w:ind w:left="720" w:hanging="360"/>
        <w:rPr>
          <w:color w:val="1c1e21"/>
          <w:sz w:val="21"/>
          <w:szCs w:val="21"/>
        </w:rPr>
      </w:pPr>
      <w:r w:rsidDel="00000000" w:rsidR="00000000" w:rsidRPr="00000000">
        <w:rPr>
          <w:color w:val="1c1e21"/>
          <w:sz w:val="21"/>
          <w:szCs w:val="21"/>
          <w:rtl w:val="0"/>
        </w:rPr>
        <w:t xml:space="preserve">This document is </w:t>
      </w:r>
      <w:r w:rsidDel="00000000" w:rsidR="00000000" w:rsidRPr="00000000">
        <w:rPr>
          <w:color w:val="1c1e21"/>
          <w:sz w:val="21"/>
          <w:szCs w:val="21"/>
          <w:u w:val="single"/>
          <w:rtl w:val="0"/>
        </w:rPr>
        <w:t xml:space="preserve">not</w:t>
      </w:r>
      <w:r w:rsidDel="00000000" w:rsidR="00000000" w:rsidRPr="00000000">
        <w:rPr>
          <w:color w:val="1c1e21"/>
          <w:sz w:val="21"/>
          <w:szCs w:val="21"/>
          <w:rtl w:val="0"/>
        </w:rPr>
        <w:t xml:space="preserve"> intended to be used: 1) for other forms of sales of personal information, such as providing personal information to a data broker in return for money; nor 2) for EU data or for compliance with any other jurisdiction’s laws. </w:t>
      </w:r>
    </w:p>
    <w:p w:rsidR="00000000" w:rsidDel="00000000" w:rsidP="00000000" w:rsidRDefault="00000000" w:rsidRPr="00000000" w14:paraId="00000018">
      <w:pPr>
        <w:numPr>
          <w:ilvl w:val="0"/>
          <w:numId w:val="1"/>
        </w:numPr>
        <w:ind w:left="720" w:hanging="360"/>
        <w:rPr>
          <w:color w:val="1c1e21"/>
          <w:sz w:val="21"/>
          <w:szCs w:val="21"/>
        </w:rPr>
      </w:pPr>
      <w:r w:rsidDel="00000000" w:rsidR="00000000" w:rsidRPr="00000000">
        <w:rPr>
          <w:color w:val="1c1e21"/>
          <w:sz w:val="21"/>
          <w:szCs w:val="21"/>
          <w:rtl w:val="0"/>
        </w:rPr>
        <w:t xml:space="preserve">This document does not address the use of sensitive information, including processes for obtaining or passing consent to process such information. To the extent the parties share such information, obligations related to such information should be addressed independent of these terms. </w:t>
      </w:r>
      <w:r w:rsidDel="00000000" w:rsidR="00000000" w:rsidRPr="00000000">
        <w:rPr>
          <w:color w:val="1c1e21"/>
          <w:sz w:val="21"/>
          <w:szCs w:val="21"/>
          <w:u w:val="single"/>
          <w:rtl w:val="0"/>
        </w:rPr>
        <w:t xml:space="preserve"> </w:t>
      </w:r>
      <w:r w:rsidDel="00000000" w:rsidR="00000000" w:rsidRPr="00000000">
        <w:rPr>
          <w:rtl w:val="0"/>
        </w:rPr>
      </w:r>
    </w:p>
    <w:p w:rsidR="00000000" w:rsidDel="00000000" w:rsidP="00000000" w:rsidRDefault="00000000" w:rsidRPr="00000000" w14:paraId="00000019">
      <w:pPr>
        <w:numPr>
          <w:ilvl w:val="0"/>
          <w:numId w:val="1"/>
        </w:numPr>
        <w:ind w:left="720" w:hanging="360"/>
        <w:rPr>
          <w:color w:val="1c1e21"/>
          <w:sz w:val="21"/>
          <w:szCs w:val="21"/>
        </w:rPr>
      </w:pPr>
      <w:r w:rsidDel="00000000" w:rsidR="00000000" w:rsidRPr="00000000">
        <w:rPr>
          <w:color w:val="1c1e21"/>
          <w:sz w:val="21"/>
          <w:szCs w:val="21"/>
          <w:rtl w:val="0"/>
        </w:rPr>
        <w:t xml:space="preserve">It does not achieve privity between all signatories.</w:t>
      </w:r>
      <w:r w:rsidDel="00000000" w:rsidR="00000000" w:rsidRPr="00000000">
        <w:rPr>
          <w:color w:val="1c1e21"/>
          <w:sz w:val="21"/>
          <w:szCs w:val="21"/>
          <w:rtl w:val="0"/>
        </w:rPr>
        <w:t xml:space="preserve"> Should member companies want the NAI to work on ways to achieve broader privity or otherwise plug into other industry solutions, we are happy to discuss ways we can leverage the work we have already done here to do so. </w:t>
      </w:r>
    </w:p>
    <w:p w:rsidR="00000000" w:rsidDel="00000000" w:rsidP="00000000" w:rsidRDefault="00000000" w:rsidRPr="00000000" w14:paraId="0000001A">
      <w:pPr>
        <w:rPr>
          <w:color w:val="1c1e21"/>
          <w:sz w:val="21"/>
          <w:szCs w:val="21"/>
        </w:rPr>
      </w:pPr>
      <w:r w:rsidDel="00000000" w:rsidR="00000000" w:rsidRPr="00000000">
        <w:rPr>
          <w:rtl w:val="0"/>
        </w:rPr>
      </w:r>
    </w:p>
    <w:p w:rsidR="00000000" w:rsidDel="00000000" w:rsidP="00000000" w:rsidRDefault="00000000" w:rsidRPr="00000000" w14:paraId="0000001B">
      <w:pPr>
        <w:rPr>
          <w:color w:val="1c1e21"/>
          <w:sz w:val="21"/>
          <w:szCs w:val="21"/>
        </w:rPr>
      </w:pPr>
      <w:r w:rsidDel="00000000" w:rsidR="00000000" w:rsidRPr="00000000">
        <w:rPr>
          <w:rtl w:val="0"/>
        </w:rPr>
      </w:r>
    </w:p>
    <w:p w:rsidR="00000000" w:rsidDel="00000000" w:rsidP="00000000" w:rsidRDefault="00000000" w:rsidRPr="00000000" w14:paraId="0000001C">
      <w:pPr>
        <w:rPr>
          <w:b w:val="1"/>
          <w:color w:val="1c1e21"/>
          <w:sz w:val="21"/>
          <w:szCs w:val="21"/>
        </w:rPr>
      </w:pPr>
      <w:r w:rsidDel="00000000" w:rsidR="00000000" w:rsidRPr="00000000">
        <w:rPr>
          <w:b w:val="1"/>
          <w:color w:val="1c1e21"/>
          <w:sz w:val="21"/>
          <w:szCs w:val="21"/>
          <w:rtl w:val="0"/>
        </w:rPr>
        <w:t xml:space="preserve">How are the terms structured?</w:t>
      </w:r>
    </w:p>
    <w:p w:rsidR="00000000" w:rsidDel="00000000" w:rsidP="00000000" w:rsidRDefault="00000000" w:rsidRPr="00000000" w14:paraId="0000001D">
      <w:pPr>
        <w:rPr>
          <w:color w:val="1c1e21"/>
          <w:sz w:val="21"/>
          <w:szCs w:val="21"/>
        </w:rPr>
      </w:pPr>
      <w:r w:rsidDel="00000000" w:rsidR="00000000" w:rsidRPr="00000000">
        <w:rPr>
          <w:rtl w:val="0"/>
        </w:rPr>
      </w:r>
    </w:p>
    <w:p w:rsidR="00000000" w:rsidDel="00000000" w:rsidP="00000000" w:rsidRDefault="00000000" w:rsidRPr="00000000" w14:paraId="0000001E">
      <w:pPr>
        <w:rPr>
          <w:color w:val="1c1e21"/>
          <w:sz w:val="21"/>
          <w:szCs w:val="21"/>
        </w:rPr>
      </w:pPr>
      <w:r w:rsidDel="00000000" w:rsidR="00000000" w:rsidRPr="00000000">
        <w:rPr>
          <w:color w:val="1c1e21"/>
          <w:sz w:val="21"/>
          <w:szCs w:val="21"/>
          <w:rtl w:val="0"/>
        </w:rPr>
        <w:t xml:space="preserve">The document is intentionally high-level and agnostic as to the type of parties involved, contemplating one or both being the disclosing party or the receiving party. While the parties may update the names to “Disclosing Party” and “Receiving Party” for one-way flows of data, the intent of such terms is to allow for two-way flows.</w:t>
      </w:r>
    </w:p>
    <w:p w:rsidR="00000000" w:rsidDel="00000000" w:rsidP="00000000" w:rsidRDefault="00000000" w:rsidRPr="00000000" w14:paraId="0000001F">
      <w:pPr>
        <w:rPr>
          <w:color w:val="1c1e21"/>
          <w:sz w:val="21"/>
          <w:szCs w:val="21"/>
        </w:rPr>
      </w:pPr>
      <w:r w:rsidDel="00000000" w:rsidR="00000000" w:rsidRPr="00000000">
        <w:rPr>
          <w:rtl w:val="0"/>
        </w:rPr>
      </w:r>
    </w:p>
    <w:p w:rsidR="00000000" w:rsidDel="00000000" w:rsidP="00000000" w:rsidRDefault="00000000" w:rsidRPr="00000000" w14:paraId="00000020">
      <w:pPr>
        <w:rPr>
          <w:color w:val="1c1e21"/>
          <w:sz w:val="21"/>
          <w:szCs w:val="21"/>
          <w:u w:val="single"/>
        </w:rPr>
      </w:pPr>
      <w:r w:rsidDel="00000000" w:rsidR="00000000" w:rsidRPr="00000000">
        <w:rPr>
          <w:color w:val="1c1e21"/>
          <w:sz w:val="21"/>
          <w:szCs w:val="21"/>
          <w:rtl w:val="0"/>
        </w:rPr>
        <w:t xml:space="preserve">The template addendum is structured similarly to terms recently published by major social media platforms in light of updates to state laws: 1) general obligations that apply to both parties under the state laws; 2) terms that govern the transfer of personal information to “Third Parties” as mandated by the CPRA; 3) processor terms that apply only when the Restricted Processing Signal is present; and 4) other general contractual terms -- i.e. amendment and conflicts. Some key concepts reflected in the template addendum: </w:t>
      </w:r>
      <w:r w:rsidDel="00000000" w:rsidR="00000000" w:rsidRPr="00000000">
        <w:rPr>
          <w:rtl w:val="0"/>
        </w:rPr>
      </w:r>
    </w:p>
    <w:p w:rsidR="00000000" w:rsidDel="00000000" w:rsidP="00000000" w:rsidRDefault="00000000" w:rsidRPr="00000000" w14:paraId="00000021">
      <w:pPr>
        <w:rPr>
          <w:color w:val="1c1e21"/>
          <w:sz w:val="21"/>
          <w:szCs w:val="21"/>
        </w:rPr>
      </w:pPr>
      <w:r w:rsidDel="00000000" w:rsidR="00000000" w:rsidRPr="00000000">
        <w:rPr>
          <w:rtl w:val="0"/>
        </w:rPr>
      </w:r>
    </w:p>
    <w:p w:rsidR="00000000" w:rsidDel="00000000" w:rsidP="00000000" w:rsidRDefault="00000000" w:rsidRPr="00000000" w14:paraId="00000022">
      <w:pPr>
        <w:numPr>
          <w:ilvl w:val="0"/>
          <w:numId w:val="5"/>
        </w:numPr>
        <w:ind w:left="720" w:hanging="360"/>
        <w:rPr>
          <w:color w:val="1c1e21"/>
          <w:sz w:val="21"/>
          <w:szCs w:val="21"/>
        </w:rPr>
      </w:pPr>
      <w:r w:rsidDel="00000000" w:rsidR="00000000" w:rsidRPr="00000000">
        <w:rPr>
          <w:color w:val="1c1e21"/>
          <w:sz w:val="21"/>
          <w:szCs w:val="21"/>
          <w:rtl w:val="0"/>
        </w:rPr>
        <w:t xml:space="preserve">Under these terms, the default state is to transfer data to others as “third parties” or as independent controllers, wherein the receiving party may use the data for purposes that are considered “selling,” “sharing,” or “targeted advertising” under the state laws (but not for any non-advertising purposes such as eligibility decisions). </w:t>
      </w:r>
    </w:p>
    <w:p w:rsidR="00000000" w:rsidDel="00000000" w:rsidP="00000000" w:rsidRDefault="00000000" w:rsidRPr="00000000" w14:paraId="00000023">
      <w:pPr>
        <w:numPr>
          <w:ilvl w:val="0"/>
          <w:numId w:val="5"/>
        </w:numPr>
        <w:ind w:left="720" w:hanging="360"/>
        <w:rPr>
          <w:color w:val="1c1e21"/>
          <w:sz w:val="21"/>
          <w:szCs w:val="21"/>
        </w:rPr>
      </w:pPr>
      <w:r w:rsidDel="00000000" w:rsidR="00000000" w:rsidRPr="00000000">
        <w:rPr>
          <w:color w:val="1c1e21"/>
          <w:sz w:val="21"/>
          <w:szCs w:val="21"/>
          <w:rtl w:val="0"/>
        </w:rPr>
        <w:t xml:space="preserve">Where the parties wish to have the other entity act as a processor or service provider (because the individual consumer has opted out of “sales,” “sharing,” or “targeted advertising”), they must signal such designation.</w:t>
      </w:r>
    </w:p>
    <w:p w:rsidR="00000000" w:rsidDel="00000000" w:rsidP="00000000" w:rsidRDefault="00000000" w:rsidRPr="00000000" w14:paraId="00000024">
      <w:pPr>
        <w:numPr>
          <w:ilvl w:val="0"/>
          <w:numId w:val="5"/>
        </w:numPr>
        <w:ind w:left="720" w:hanging="360"/>
        <w:rPr>
          <w:color w:val="1c1e21"/>
          <w:sz w:val="21"/>
          <w:szCs w:val="21"/>
        </w:rPr>
      </w:pPr>
      <w:r w:rsidDel="00000000" w:rsidR="00000000" w:rsidRPr="00000000">
        <w:rPr>
          <w:color w:val="1c1e21"/>
          <w:sz w:val="21"/>
          <w:szCs w:val="21"/>
          <w:rtl w:val="0"/>
        </w:rPr>
        <w:t xml:space="preserve">Such signal may be an industry-wide signal such as those adopted by the IAB or a proprietary signal as determined by the parties and is referred to in these terms as a Restricted Processing Signal. </w:t>
      </w:r>
    </w:p>
    <w:p w:rsidR="00000000" w:rsidDel="00000000" w:rsidP="00000000" w:rsidRDefault="00000000" w:rsidRPr="00000000" w14:paraId="00000025">
      <w:pPr>
        <w:numPr>
          <w:ilvl w:val="0"/>
          <w:numId w:val="5"/>
        </w:numPr>
        <w:ind w:left="720" w:hanging="360"/>
        <w:rPr>
          <w:color w:val="1c1e21"/>
          <w:sz w:val="21"/>
          <w:szCs w:val="21"/>
        </w:rPr>
      </w:pPr>
      <w:r w:rsidDel="00000000" w:rsidR="00000000" w:rsidRPr="00000000">
        <w:rPr>
          <w:color w:val="1c1e21"/>
          <w:sz w:val="21"/>
          <w:szCs w:val="21"/>
          <w:rtl w:val="0"/>
        </w:rPr>
        <w:t xml:space="preserve">Where such signal is present, the receiving party agrees to act as a processor/service provider with all the attendant obligations provided by the state laws and to use the data for more limited purposes, referred to as “Restricted Purposes” in this document. Of note, the terms reflect a concept of joint processing similar to that adopted in the MSPA in an attempt to address concerns about service providers/processors “combining” personal information collected across clients reflected in the current draft CPRA regulations. </w:t>
      </w:r>
    </w:p>
    <w:p w:rsidR="00000000" w:rsidDel="00000000" w:rsidP="00000000" w:rsidRDefault="00000000" w:rsidRPr="00000000" w14:paraId="00000026">
      <w:pPr>
        <w:rPr>
          <w:color w:val="1c1e21"/>
          <w:sz w:val="21"/>
          <w:szCs w:val="21"/>
        </w:rPr>
      </w:pPr>
      <w:r w:rsidDel="00000000" w:rsidR="00000000" w:rsidRPr="00000000">
        <w:rPr>
          <w:rtl w:val="0"/>
        </w:rPr>
      </w:r>
    </w:p>
    <w:p w:rsidR="00000000" w:rsidDel="00000000" w:rsidP="00000000" w:rsidRDefault="00000000" w:rsidRPr="00000000" w14:paraId="00000027">
      <w:pPr>
        <w:rPr>
          <w:b w:val="1"/>
          <w:color w:val="1c1e21"/>
          <w:sz w:val="21"/>
          <w:szCs w:val="21"/>
        </w:rPr>
      </w:pPr>
      <w:r w:rsidDel="00000000" w:rsidR="00000000" w:rsidRPr="00000000">
        <w:rPr>
          <w:b w:val="1"/>
          <w:color w:val="1c1e21"/>
          <w:sz w:val="21"/>
          <w:szCs w:val="21"/>
          <w:rtl w:val="0"/>
        </w:rPr>
        <w:t xml:space="preserve">What is the NAI’s approach?</w:t>
      </w:r>
    </w:p>
    <w:p w:rsidR="00000000" w:rsidDel="00000000" w:rsidP="00000000" w:rsidRDefault="00000000" w:rsidRPr="00000000" w14:paraId="00000028">
      <w:pPr>
        <w:rPr>
          <w:color w:val="1c1e21"/>
          <w:sz w:val="21"/>
          <w:szCs w:val="21"/>
        </w:rPr>
      </w:pPr>
      <w:r w:rsidDel="00000000" w:rsidR="00000000" w:rsidRPr="00000000">
        <w:rPr>
          <w:rtl w:val="0"/>
        </w:rPr>
      </w:r>
    </w:p>
    <w:p w:rsidR="00000000" w:rsidDel="00000000" w:rsidP="00000000" w:rsidRDefault="00000000" w:rsidRPr="00000000" w14:paraId="00000029">
      <w:pPr>
        <w:rPr>
          <w:color w:val="1c1e21"/>
          <w:sz w:val="21"/>
          <w:szCs w:val="21"/>
        </w:rPr>
      </w:pPr>
      <w:r w:rsidDel="00000000" w:rsidR="00000000" w:rsidRPr="00000000">
        <w:rPr>
          <w:color w:val="1c1e21"/>
          <w:sz w:val="21"/>
          <w:szCs w:val="21"/>
          <w:rtl w:val="0"/>
        </w:rPr>
        <w:t xml:space="preserve">The NAI’s goal in drafting these terms was to keep them as short and simple as possible while also addressing the numerous and detailed obligations imposed by the state laws. We have heard from most members that they prefer a single, national approach rather than state-by-state systems that are complicated to implement and yield little advantage as a practical matter. As a result, wherever the state laws reflect minor and likely inconsequential differences in their definitions or treatment of a topic, the terms abstract that concept into a simple and yet compliant obligation. Similarly, rather than porting over defined terms from state laws, these terms refer out to the terms used in the laws.  The terms are intended to allow for seamless negotiation and consistent terms across the ecosystem (similar to how the IAB’s Standard Media Buying terms are used, with companies familiar with the concepts in those documents and able to agree to them without having lawyers re-review or re-negotiate them for each deal).</w:t>
      </w:r>
    </w:p>
    <w:p w:rsidR="00000000" w:rsidDel="00000000" w:rsidP="00000000" w:rsidRDefault="00000000" w:rsidRPr="00000000" w14:paraId="0000002A">
      <w:pPr>
        <w:rPr>
          <w:color w:val="1c1e21"/>
          <w:sz w:val="21"/>
          <w:szCs w:val="2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What laws does this cover?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following states with enacted omnibus consumer privacy laws: California, Colorado, Connecticut, Utah, and Virginia. If other states enact substantively similar laws, the addendum could apply with minor revisions. </w:t>
      </w:r>
    </w:p>
    <w:p w:rsidR="00000000" w:rsidDel="00000000" w:rsidP="00000000" w:rsidRDefault="00000000" w:rsidRPr="00000000" w14:paraId="0000002E">
      <w:pPr>
        <w:rPr>
          <w:color w:val="1c1e21"/>
          <w:sz w:val="21"/>
          <w:szCs w:val="21"/>
        </w:rPr>
      </w:pPr>
      <w:r w:rsidDel="00000000" w:rsidR="00000000" w:rsidRPr="00000000">
        <w:rPr>
          <w:rtl w:val="0"/>
        </w:rPr>
      </w:r>
    </w:p>
    <w:p w:rsidR="00000000" w:rsidDel="00000000" w:rsidP="00000000" w:rsidRDefault="00000000" w:rsidRPr="00000000" w14:paraId="0000002F">
      <w:pPr>
        <w:rPr>
          <w:color w:val="1c1e21"/>
          <w:sz w:val="21"/>
          <w:szCs w:val="21"/>
        </w:rPr>
      </w:pPr>
      <w:r w:rsidDel="00000000" w:rsidR="00000000" w:rsidRPr="00000000">
        <w:rPr>
          <w:rtl w:val="0"/>
        </w:rPr>
      </w:r>
    </w:p>
    <w:p w:rsidR="00000000" w:rsidDel="00000000" w:rsidP="00000000" w:rsidRDefault="00000000" w:rsidRPr="00000000" w14:paraId="00000030">
      <w:pPr>
        <w:rPr>
          <w:b w:val="1"/>
          <w:color w:val="1c1e21"/>
        </w:rPr>
      </w:pPr>
      <w:r w:rsidDel="00000000" w:rsidR="00000000" w:rsidRPr="00000000">
        <w:br w:type="page"/>
      </w:r>
      <w:bookmarkStart w:colFirst="0" w:colLast="0" w:name="1fob9te" w:id="2"/>
      <w:bookmarkEnd w:id="2"/>
      <w:r w:rsidDel="00000000" w:rsidR="00000000" w:rsidRPr="00000000">
        <w:rPr>
          <w:b w:val="1"/>
          <w:color w:val="1c1e21"/>
          <w:rtl w:val="0"/>
        </w:rPr>
        <w:t xml:space="preserve">Part 2: Draft Text of Addendum</w:t>
      </w:r>
    </w:p>
    <w:p w:rsidR="00000000" w:rsidDel="00000000" w:rsidP="00000000" w:rsidRDefault="00000000" w:rsidRPr="00000000" w14:paraId="00000031">
      <w:pPr>
        <w:jc w:val="center"/>
        <w:rPr>
          <w:b w:val="1"/>
          <w:color w:val="1c1e21"/>
        </w:rPr>
      </w:pPr>
      <w:r w:rsidDel="00000000" w:rsidR="00000000" w:rsidRPr="00000000">
        <w:rPr>
          <w:b w:val="1"/>
          <w:color w:val="1c1e21"/>
          <w:rtl w:val="0"/>
        </w:rPr>
        <w:t xml:space="preserve">WORKING DRAFT</w:t>
      </w:r>
    </w:p>
    <w:p w:rsidR="00000000" w:rsidDel="00000000" w:rsidP="00000000" w:rsidRDefault="00000000" w:rsidRPr="00000000" w14:paraId="00000032">
      <w:pPr>
        <w:rPr>
          <w:b w:val="1"/>
          <w:color w:val="1c1e21"/>
        </w:rPr>
      </w:pPr>
      <w:r w:rsidDel="00000000" w:rsidR="00000000" w:rsidRPr="00000000">
        <w:rPr>
          <w:rtl w:val="0"/>
        </w:rPr>
      </w:r>
    </w:p>
    <w:p w:rsidR="00000000" w:rsidDel="00000000" w:rsidP="00000000" w:rsidRDefault="00000000" w:rsidRPr="00000000" w14:paraId="00000033">
      <w:pPr>
        <w:jc w:val="center"/>
        <w:rPr>
          <w:b w:val="1"/>
          <w:color w:val="1c1e21"/>
        </w:rPr>
      </w:pPr>
      <w:r w:rsidDel="00000000" w:rsidR="00000000" w:rsidRPr="00000000">
        <w:rPr>
          <w:b w:val="1"/>
          <w:color w:val="1c1e21"/>
          <w:rtl w:val="0"/>
        </w:rPr>
        <w:t xml:space="preserve">NAI TEMPLATE STATE PRIVACY LAW PROCESSING ADDENDUM TEXT</w:t>
      </w:r>
    </w:p>
    <w:p w:rsidR="00000000" w:rsidDel="00000000" w:rsidP="00000000" w:rsidRDefault="00000000" w:rsidRPr="00000000" w14:paraId="00000034">
      <w:pPr>
        <w:jc w:val="center"/>
        <w:rPr>
          <w:b w:val="1"/>
          <w:color w:val="1c1e21"/>
        </w:rPr>
      </w:pPr>
      <w:r w:rsidDel="00000000" w:rsidR="00000000" w:rsidRPr="00000000">
        <w:rPr>
          <w:rtl w:val="0"/>
        </w:rPr>
      </w:r>
    </w:p>
    <w:bookmarkStart w:colFirst="0" w:colLast="0" w:name="851om6btpb2i" w:id="3"/>
    <w:bookmarkEnd w:id="3"/>
    <w:p w:rsidR="00000000" w:rsidDel="00000000" w:rsidP="00000000" w:rsidRDefault="00000000" w:rsidRPr="00000000" w14:paraId="00000035">
      <w:pPr>
        <w:numPr>
          <w:ilvl w:val="0"/>
          <w:numId w:val="3"/>
        </w:numPr>
        <w:ind w:left="720" w:hanging="360"/>
        <w:jc w:val="both"/>
        <w:rPr>
          <w:b w:val="1"/>
          <w:color w:val="1c1e21"/>
        </w:rPr>
      </w:pPr>
      <w:r w:rsidDel="00000000" w:rsidR="00000000" w:rsidRPr="00000000">
        <w:rPr>
          <w:b w:val="1"/>
          <w:color w:val="1c1e21"/>
          <w:u w:val="single"/>
          <w:rtl w:val="0"/>
        </w:rPr>
        <w:t xml:space="preserve">Introduction</w:t>
      </w:r>
      <w:r w:rsidDel="00000000" w:rsidR="00000000" w:rsidRPr="00000000">
        <w:rPr>
          <w:rtl w:val="0"/>
        </w:rPr>
      </w:r>
    </w:p>
    <w:p w:rsidR="00000000" w:rsidDel="00000000" w:rsidP="00000000" w:rsidRDefault="00000000" w:rsidRPr="00000000" w14:paraId="00000036">
      <w:pPr>
        <w:ind w:left="720" w:firstLine="0"/>
        <w:jc w:val="both"/>
        <w:rPr>
          <w:b w:val="1"/>
          <w:color w:val="1c1e21"/>
          <w:u w:val="single"/>
        </w:rPr>
      </w:pPr>
      <w:r w:rsidDel="00000000" w:rsidR="00000000" w:rsidRPr="00000000">
        <w:rPr>
          <w:rtl w:val="0"/>
        </w:rPr>
      </w:r>
    </w:p>
    <w:p w:rsidR="00000000" w:rsidDel="00000000" w:rsidP="00000000" w:rsidRDefault="00000000" w:rsidRPr="00000000" w14:paraId="00000037">
      <w:pPr>
        <w:jc w:val="both"/>
        <w:rPr>
          <w:color w:val="1c1e21"/>
        </w:rPr>
      </w:pPr>
      <w:r w:rsidDel="00000000" w:rsidR="00000000" w:rsidRPr="00000000">
        <w:rPr>
          <w:color w:val="1c1e21"/>
          <w:rtl w:val="0"/>
        </w:rPr>
        <w:t xml:space="preserve">This State Privacy Law Processing Addendum (this “</w:t>
      </w:r>
      <w:r w:rsidDel="00000000" w:rsidR="00000000" w:rsidRPr="00000000">
        <w:rPr>
          <w:b w:val="1"/>
          <w:color w:val="1c1e21"/>
          <w:rtl w:val="0"/>
        </w:rPr>
        <w:t xml:space="preserve">Addendum</w:t>
      </w:r>
      <w:r w:rsidDel="00000000" w:rsidR="00000000" w:rsidRPr="00000000">
        <w:rPr>
          <w:color w:val="1c1e21"/>
          <w:rtl w:val="0"/>
        </w:rPr>
        <w:t xml:space="preserve">”) is entered into between the parties identified in the relevant signature blocks below (each a “</w:t>
      </w:r>
      <w:r w:rsidDel="00000000" w:rsidR="00000000" w:rsidRPr="00000000">
        <w:rPr>
          <w:b w:val="1"/>
          <w:color w:val="1c1e21"/>
          <w:rtl w:val="0"/>
        </w:rPr>
        <w:t xml:space="preserve">Party</w:t>
      </w:r>
      <w:r w:rsidDel="00000000" w:rsidR="00000000" w:rsidRPr="00000000">
        <w:rPr>
          <w:color w:val="1c1e21"/>
          <w:rtl w:val="0"/>
        </w:rPr>
        <w:t xml:space="preserve">” and collectively the “</w:t>
      </w:r>
      <w:r w:rsidDel="00000000" w:rsidR="00000000" w:rsidRPr="00000000">
        <w:rPr>
          <w:b w:val="1"/>
          <w:color w:val="1c1e21"/>
          <w:rtl w:val="0"/>
        </w:rPr>
        <w:t xml:space="preserve">Parties</w:t>
      </w:r>
      <w:r w:rsidDel="00000000" w:rsidR="00000000" w:rsidRPr="00000000">
        <w:rPr>
          <w:color w:val="1c1e21"/>
          <w:rtl w:val="0"/>
        </w:rPr>
        <w:t xml:space="preserve">”).  This Addendum sets forth the terms under State Privacy Laws pursuant to which a Party (the “</w:t>
      </w:r>
      <w:r w:rsidDel="00000000" w:rsidR="00000000" w:rsidRPr="00000000">
        <w:rPr>
          <w:b w:val="1"/>
          <w:color w:val="1c1e21"/>
          <w:rtl w:val="0"/>
        </w:rPr>
        <w:t xml:space="preserve">Disclosing Party</w:t>
      </w:r>
      <w:r w:rsidDel="00000000" w:rsidR="00000000" w:rsidRPr="00000000">
        <w:rPr>
          <w:color w:val="1c1e21"/>
          <w:rtl w:val="0"/>
        </w:rPr>
        <w:t xml:space="preserve">”) may transmit, disclose, or otherwise make available Personal Data to the other Party (the “</w:t>
      </w:r>
      <w:r w:rsidDel="00000000" w:rsidR="00000000" w:rsidRPr="00000000">
        <w:rPr>
          <w:b w:val="1"/>
          <w:color w:val="1c1e21"/>
          <w:rtl w:val="0"/>
        </w:rPr>
        <w:t xml:space="preserve">Receiving Party</w:t>
      </w:r>
      <w:r w:rsidDel="00000000" w:rsidR="00000000" w:rsidRPr="00000000">
        <w:rPr>
          <w:color w:val="1c1e21"/>
          <w:rtl w:val="0"/>
        </w:rPr>
        <w:t xml:space="preserve">”) for Advertising Purposes (defined below).  This Addendum supplements and forms part of any existing, current, or future agreement between Disclosing Party and Receiving Party pursuant to which Disclosing Party discloses Personal Data to Receiving Party (any such agreement being individually or together referred to as the “</w:t>
      </w:r>
      <w:r w:rsidDel="00000000" w:rsidR="00000000" w:rsidRPr="00000000">
        <w:rPr>
          <w:b w:val="1"/>
          <w:color w:val="1c1e21"/>
          <w:rtl w:val="0"/>
        </w:rPr>
        <w:t xml:space="preserve">Agreement</w:t>
      </w:r>
      <w:r w:rsidDel="00000000" w:rsidR="00000000" w:rsidRPr="00000000">
        <w:rPr>
          <w:color w:val="1c1e21"/>
          <w:rtl w:val="0"/>
        </w:rPr>
        <w:t xml:space="preserve">”). This Addendum will be effective as of the effective date of the Agreement (“</w:t>
      </w:r>
      <w:r w:rsidDel="00000000" w:rsidR="00000000" w:rsidRPr="00000000">
        <w:rPr>
          <w:b w:val="1"/>
          <w:color w:val="1c1e21"/>
          <w:rtl w:val="0"/>
        </w:rPr>
        <w:t xml:space="preserve">Effective Date</w:t>
      </w:r>
      <w:r w:rsidDel="00000000" w:rsidR="00000000" w:rsidRPr="00000000">
        <w:rPr>
          <w:color w:val="1c1e21"/>
          <w:rtl w:val="0"/>
        </w:rPr>
        <w:t xml:space="preserve">”); provided, however, the relevant obligations apply only to the extent (i) Personal Data is subject to the State Privacy Laws; and (ii) a State Privacy Law has taken effect.</w:t>
      </w:r>
    </w:p>
    <w:p w:rsidR="00000000" w:rsidDel="00000000" w:rsidP="00000000" w:rsidRDefault="00000000" w:rsidRPr="00000000" w14:paraId="00000038">
      <w:pPr>
        <w:jc w:val="both"/>
        <w:rPr>
          <w:color w:val="1c1e21"/>
        </w:rPr>
      </w:pPr>
      <w:r w:rsidDel="00000000" w:rsidR="00000000" w:rsidRPr="00000000">
        <w:rPr>
          <w:rtl w:val="0"/>
        </w:rPr>
      </w:r>
    </w:p>
    <w:bookmarkStart w:colFirst="0" w:colLast="0" w:name="42jszz9t4lhy" w:id="4"/>
    <w:bookmarkEnd w:id="4"/>
    <w:p w:rsidR="00000000" w:rsidDel="00000000" w:rsidP="00000000" w:rsidRDefault="00000000" w:rsidRPr="00000000" w14:paraId="00000039">
      <w:pPr>
        <w:numPr>
          <w:ilvl w:val="0"/>
          <w:numId w:val="3"/>
        </w:numPr>
        <w:ind w:left="720" w:hanging="360"/>
        <w:jc w:val="both"/>
        <w:rPr>
          <w:b w:val="1"/>
          <w:color w:val="1c1e21"/>
        </w:rPr>
      </w:pPr>
      <w:r w:rsidDel="00000000" w:rsidR="00000000" w:rsidRPr="00000000">
        <w:rPr>
          <w:b w:val="1"/>
          <w:color w:val="1c1e21"/>
          <w:u w:val="single"/>
          <w:rtl w:val="0"/>
        </w:rPr>
        <w:t xml:space="preserve">Definitions</w:t>
      </w:r>
      <w:r w:rsidDel="00000000" w:rsidR="00000000" w:rsidRPr="00000000">
        <w:rPr>
          <w:b w:val="1"/>
          <w:color w:val="1c1e21"/>
          <w:rtl w:val="0"/>
        </w:rPr>
        <w:t xml:space="preserve">. </w:t>
        <w:tab/>
      </w:r>
      <w:r w:rsidDel="00000000" w:rsidR="00000000" w:rsidRPr="00000000">
        <w:rPr>
          <w:color w:val="1c1e21"/>
          <w:rtl w:val="0"/>
        </w:rPr>
        <w:t xml:space="preserve">For purposes of this Addendum, the following terms will have the meaning ascribed below:</w:t>
      </w:r>
      <w:r w:rsidDel="00000000" w:rsidR="00000000" w:rsidRPr="00000000">
        <w:rPr>
          <w:rtl w:val="0"/>
        </w:rPr>
      </w:r>
    </w:p>
    <w:bookmarkStart w:colFirst="0" w:colLast="0" w:name="ck5l8yhqd654" w:id="5"/>
    <w:bookmarkEnd w:id="5"/>
    <w:p w:rsidR="00000000" w:rsidDel="00000000" w:rsidP="00000000" w:rsidRDefault="00000000" w:rsidRPr="00000000" w14:paraId="0000003A">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Advertising Purposes</w:t>
      </w:r>
      <w:r w:rsidDel="00000000" w:rsidR="00000000" w:rsidRPr="00000000">
        <w:rPr>
          <w:color w:val="1c1e21"/>
          <w:rtl w:val="0"/>
        </w:rPr>
        <w:t xml:space="preserve">” means all Restricted Purposes in addition to (i) activities that constitute Targeted Advertising or Cross-Context Behavioral Advertising under State Privacy Laws, including any processing that involves displaying ads to a Consumer that are selected based on the Consumer’s cross-context behaviors, (ii) creating or supplementing user profiles for such purposes.</w:t>
      </w:r>
      <w:r w:rsidDel="00000000" w:rsidR="00000000" w:rsidRPr="00000000">
        <w:rPr>
          <w:rtl w:val="0"/>
        </w:rPr>
      </w:r>
    </w:p>
    <w:bookmarkStart w:colFirst="0" w:colLast="0" w:name="udkilkcn6glc" w:id="6"/>
    <w:bookmarkEnd w:id="6"/>
    <w:p w:rsidR="00000000" w:rsidDel="00000000" w:rsidP="00000000" w:rsidRDefault="00000000" w:rsidRPr="00000000" w14:paraId="0000003B">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CCPA</w:t>
      </w:r>
      <w:r w:rsidDel="00000000" w:rsidR="00000000" w:rsidRPr="00000000">
        <w:rPr>
          <w:color w:val="1c1e21"/>
          <w:rtl w:val="0"/>
        </w:rPr>
        <w:t xml:space="preserve">” means the California Consumer Privacy Act of 2018, as amended, including as amended by the California Privacy Rights Act of 2020, and any regulations promulgated thereunder.</w:t>
      </w:r>
    </w:p>
    <w:bookmarkStart w:colFirst="0" w:colLast="0" w:name="gd79ss17qq7" w:id="7"/>
    <w:bookmarkEnd w:id="7"/>
    <w:p w:rsidR="00000000" w:rsidDel="00000000" w:rsidP="00000000" w:rsidRDefault="00000000" w:rsidRPr="00000000" w14:paraId="0000003C">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Data Breach</w:t>
      </w:r>
      <w:r w:rsidDel="00000000" w:rsidR="00000000" w:rsidRPr="00000000">
        <w:rPr>
          <w:color w:val="1c1e21"/>
          <w:rtl w:val="0"/>
        </w:rPr>
        <w:t xml:space="preserve">” means “breach of the security of the system,” “security breach,” “breach of security,” “breach of system security,” and other analogous terms referenced in State Privacy Laws.</w:t>
      </w:r>
    </w:p>
    <w:p w:rsidR="00000000" w:rsidDel="00000000" w:rsidP="00000000" w:rsidRDefault="00000000" w:rsidRPr="00000000" w14:paraId="0000003D">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bookmarkStart w:colFirst="0" w:colLast="0" w:name="3t4scr9mcotb" w:id="8"/>
      <w:bookmarkEnd w:id="8"/>
      <w:r w:rsidDel="00000000" w:rsidR="00000000" w:rsidRPr="00000000">
        <w:rPr>
          <w:color w:val="1c1e21"/>
          <w:rtl w:val="0"/>
        </w:rPr>
        <w:t xml:space="preserve">“</w:t>
      </w:r>
      <w:r w:rsidDel="00000000" w:rsidR="00000000" w:rsidRPr="00000000">
        <w:rPr>
          <w:b w:val="1"/>
          <w:color w:val="1c1e21"/>
          <w:rtl w:val="0"/>
        </w:rPr>
        <w:t xml:space="preserve">Joint Processor</w:t>
      </w:r>
      <w:r w:rsidDel="00000000" w:rsidR="00000000" w:rsidRPr="00000000">
        <w:rPr>
          <w:color w:val="1c1e21"/>
          <w:rtl w:val="0"/>
        </w:rPr>
        <w:t xml:space="preserve">” means a Processor engaged by one or more Controllers to Process Personal Data in a manner that requires combining Personal Data collected across such Businesses, such as for certain measurement activities or capping the frequency of ads shown to a Consumer across sites or services not owned or controlled by the same Business.]</w:t>
      </w:r>
      <w:r w:rsidDel="00000000" w:rsidR="00000000" w:rsidRPr="00000000">
        <w:rPr>
          <w:rtl w:val="0"/>
        </w:rPr>
      </w:r>
    </w:p>
    <w:bookmarkStart w:colFirst="0" w:colLast="0" w:name="p58spxq1nu7h" w:id="9"/>
    <w:bookmarkEnd w:id="9"/>
    <w:p w:rsidR="00000000" w:rsidDel="00000000" w:rsidP="00000000" w:rsidRDefault="00000000" w:rsidRPr="00000000" w14:paraId="0000003E">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Restricted Processing</w:t>
      </w:r>
      <w:r w:rsidDel="00000000" w:rsidR="00000000" w:rsidRPr="00000000">
        <w:rPr>
          <w:color w:val="1c1e21"/>
          <w:rtl w:val="0"/>
        </w:rPr>
        <w:t xml:space="preserve">” means Processing only for Restricted Purposes.</w:t>
      </w:r>
    </w:p>
    <w:bookmarkStart w:colFirst="0" w:colLast="0" w:name="5hy1cg4m3603" w:id="10"/>
    <w:bookmarkEnd w:id="10"/>
    <w:p w:rsidR="00000000" w:rsidDel="00000000" w:rsidP="00000000" w:rsidRDefault="00000000" w:rsidRPr="00000000" w14:paraId="0000003F">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Restricted Processing Signal</w:t>
      </w:r>
      <w:r w:rsidDel="00000000" w:rsidR="00000000" w:rsidRPr="00000000">
        <w:rPr>
          <w:color w:val="1c1e21"/>
          <w:rtl w:val="0"/>
        </w:rPr>
        <w:t xml:space="preserve">” means any flag or signal indicating that a Consumer has opted out of the Sale, Sharing, or Processing for purposes of Targeted Advertising of their Personal Data, including without limitation those flags or signals sent through the IAB CCPA Compliance Framework, Global Privacy Platform, or other signaling system agreed to by the Parties.</w:t>
      </w:r>
    </w:p>
    <w:bookmarkStart w:colFirst="0" w:colLast="0" w:name="oygt4iviuo93" w:id="11"/>
    <w:bookmarkEnd w:id="11"/>
    <w:p w:rsidR="00000000" w:rsidDel="00000000" w:rsidP="00000000" w:rsidRDefault="00000000" w:rsidRPr="00000000" w14:paraId="00000040">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Restricted Purposes</w:t>
      </w:r>
      <w:r w:rsidDel="00000000" w:rsidR="00000000" w:rsidRPr="00000000">
        <w:rPr>
          <w:color w:val="1c1e21"/>
          <w:rtl w:val="0"/>
        </w:rPr>
        <w:t xml:space="preserve">” means advertising-related Processing that qualifies as a Business Purpose, including Processing for purposes of auditing; security and integrity; debugging; short term, transient uses; analytics; providing advertising or marketing services that do not include Cross-Contextual Behavioral Advertising, Targeted Advertising, or profiling; internal research; and efforts to improve quality  and safety.  </w:t>
      </w:r>
      <w:r w:rsidDel="00000000" w:rsidR="00000000" w:rsidRPr="00000000">
        <w:rPr>
          <w:color w:val="1c1e21"/>
          <w:rtl w:val="0"/>
        </w:rPr>
        <w:t xml:space="preserve">Restricted Purposes includes first-party advertising, contextual advertising, frequency capping, measurement, fraud detection and prevention, and ensuring and measuring viewability</w:t>
      </w:r>
      <w:r w:rsidDel="00000000" w:rsidR="00000000" w:rsidRPr="00000000">
        <w:rPr>
          <w:color w:val="1c1e21"/>
          <w:rtl w:val="0"/>
        </w:rPr>
        <w:t xml:space="preserve">[, each only to the extent such activity (i) is permissible for a Processor to perform under the applicable State Privacy Laws; and (ii) does not result in a Sale or Sharing of Personal Data or constitute Processing of Personal Data for Targeted Advertising purposes.</w:t>
      </w:r>
      <w:r w:rsidDel="00000000" w:rsidR="00000000" w:rsidRPr="00000000">
        <w:rPr>
          <w:color w:val="1c1e21"/>
          <w:rtl w:val="0"/>
        </w:rPr>
        <w:t xml:space="preserve">]</w:t>
      </w:r>
      <w:r w:rsidDel="00000000" w:rsidR="00000000" w:rsidRPr="00000000">
        <w:rPr>
          <w:rtl w:val="0"/>
        </w:rPr>
      </w:r>
    </w:p>
    <w:bookmarkStart w:colFirst="0" w:colLast="0" w:name="j70g21hsy1mr" w:id="12"/>
    <w:bookmarkEnd w:id="12"/>
    <w:p w:rsidR="00000000" w:rsidDel="00000000" w:rsidP="00000000" w:rsidRDefault="00000000" w:rsidRPr="00000000" w14:paraId="00000041">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State Privacy Laws</w:t>
      </w:r>
      <w:r w:rsidDel="00000000" w:rsidR="00000000" w:rsidRPr="00000000">
        <w:rPr>
          <w:color w:val="1c1e21"/>
          <w:rtl w:val="0"/>
        </w:rPr>
        <w:t xml:space="preserve">” means the CCPA, the Colorado Privacy Act, the Connecticut Act Concerning Personal Data Privacy and Online Monitoring of 2022, the Utah Consumer Privacy Act of 2022, and the Virginia Consumer Data Protection Act, in each case as amended and including any regulations promulgated thereunder.</w:t>
      </w:r>
    </w:p>
    <w:bookmarkStart w:colFirst="0" w:colLast="0" w:name="fb5gvbxzf3z" w:id="13"/>
    <w:bookmarkEnd w:id="13"/>
    <w:p w:rsidR="00000000" w:rsidDel="00000000" w:rsidP="00000000" w:rsidRDefault="00000000" w:rsidRPr="00000000" w14:paraId="00000042">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w:t>
      </w:r>
      <w:r w:rsidDel="00000000" w:rsidR="00000000" w:rsidRPr="00000000">
        <w:rPr>
          <w:b w:val="1"/>
          <w:color w:val="1c1e21"/>
          <w:rtl w:val="0"/>
        </w:rPr>
        <w:t xml:space="preserve">Business</w:t>
      </w:r>
      <w:r w:rsidDel="00000000" w:rsidR="00000000" w:rsidRPr="00000000">
        <w:rPr>
          <w:color w:val="1c1e21"/>
          <w:rtl w:val="0"/>
        </w:rPr>
        <w:t xml:space="preserve">,” “</w:t>
      </w:r>
      <w:r w:rsidDel="00000000" w:rsidR="00000000" w:rsidRPr="00000000">
        <w:rPr>
          <w:b w:val="1"/>
          <w:color w:val="1c1e21"/>
          <w:rtl w:val="0"/>
        </w:rPr>
        <w:t xml:space="preserve">Business Purpose</w:t>
      </w:r>
      <w:r w:rsidDel="00000000" w:rsidR="00000000" w:rsidRPr="00000000">
        <w:rPr>
          <w:color w:val="1c1e21"/>
          <w:rtl w:val="0"/>
        </w:rPr>
        <w:t xml:space="preserve">,” “</w:t>
      </w:r>
      <w:r w:rsidDel="00000000" w:rsidR="00000000" w:rsidRPr="00000000">
        <w:rPr>
          <w:b w:val="1"/>
          <w:color w:val="1c1e21"/>
          <w:rtl w:val="0"/>
        </w:rPr>
        <w:t xml:space="preserve">Commercial Purpose</w:t>
      </w:r>
      <w:r w:rsidDel="00000000" w:rsidR="00000000" w:rsidRPr="00000000">
        <w:rPr>
          <w:color w:val="1c1e21"/>
          <w:rtl w:val="0"/>
        </w:rPr>
        <w:t xml:space="preserve">,” “</w:t>
      </w:r>
      <w:r w:rsidDel="00000000" w:rsidR="00000000" w:rsidRPr="00000000">
        <w:rPr>
          <w:b w:val="1"/>
          <w:color w:val="1c1e21"/>
          <w:rtl w:val="0"/>
        </w:rPr>
        <w:t xml:space="preserve">Consumer</w:t>
      </w:r>
      <w:r w:rsidDel="00000000" w:rsidR="00000000" w:rsidRPr="00000000">
        <w:rPr>
          <w:color w:val="1c1e21"/>
          <w:rtl w:val="0"/>
        </w:rPr>
        <w:t xml:space="preserve">,” “</w:t>
      </w:r>
      <w:r w:rsidDel="00000000" w:rsidR="00000000" w:rsidRPr="00000000">
        <w:rPr>
          <w:b w:val="1"/>
          <w:color w:val="1c1e21"/>
          <w:rtl w:val="0"/>
        </w:rPr>
        <w:t xml:space="preserve">Controller</w:t>
      </w:r>
      <w:r w:rsidDel="00000000" w:rsidR="00000000" w:rsidRPr="00000000">
        <w:rPr>
          <w:color w:val="1c1e21"/>
          <w:rtl w:val="0"/>
        </w:rPr>
        <w:t xml:space="preserve">,” “</w:t>
      </w:r>
      <w:r w:rsidDel="00000000" w:rsidR="00000000" w:rsidRPr="00000000">
        <w:rPr>
          <w:b w:val="1"/>
          <w:color w:val="1c1e21"/>
          <w:rtl w:val="0"/>
        </w:rPr>
        <w:t xml:space="preserve">Cross-Context Behavioral Advertising</w:t>
      </w:r>
      <w:r w:rsidDel="00000000" w:rsidR="00000000" w:rsidRPr="00000000">
        <w:rPr>
          <w:color w:val="1c1e21"/>
          <w:rtl w:val="0"/>
        </w:rPr>
        <w:t xml:space="preserve">,” “</w:t>
      </w:r>
      <w:r w:rsidDel="00000000" w:rsidR="00000000" w:rsidRPr="00000000">
        <w:rPr>
          <w:b w:val="1"/>
          <w:color w:val="1c1e21"/>
          <w:rtl w:val="0"/>
        </w:rPr>
        <w:t xml:space="preserve">Deidentified</w:t>
      </w:r>
      <w:r w:rsidDel="00000000" w:rsidR="00000000" w:rsidRPr="00000000">
        <w:rPr>
          <w:color w:val="1c1e21"/>
          <w:rtl w:val="0"/>
        </w:rPr>
        <w:t xml:space="preserve">,” “</w:t>
      </w:r>
      <w:r w:rsidDel="00000000" w:rsidR="00000000" w:rsidRPr="00000000">
        <w:rPr>
          <w:b w:val="1"/>
          <w:color w:val="1c1e21"/>
          <w:rtl w:val="0"/>
        </w:rPr>
        <w:t xml:space="preserve">De-identified Data</w:t>
      </w:r>
      <w:r w:rsidDel="00000000" w:rsidR="00000000" w:rsidRPr="00000000">
        <w:rPr>
          <w:color w:val="1c1e21"/>
          <w:rtl w:val="0"/>
        </w:rPr>
        <w:t xml:space="preserve">,” “</w:t>
      </w:r>
      <w:r w:rsidDel="00000000" w:rsidR="00000000" w:rsidRPr="00000000">
        <w:rPr>
          <w:b w:val="1"/>
          <w:color w:val="1c1e21"/>
          <w:rtl w:val="0"/>
        </w:rPr>
        <w:t xml:space="preserve">Personal Data</w:t>
      </w:r>
      <w:r w:rsidDel="00000000" w:rsidR="00000000" w:rsidRPr="00000000">
        <w:rPr>
          <w:color w:val="1c1e21"/>
          <w:rtl w:val="0"/>
        </w:rPr>
        <w:t xml:space="preserve">,” “</w:t>
      </w:r>
      <w:r w:rsidDel="00000000" w:rsidR="00000000" w:rsidRPr="00000000">
        <w:rPr>
          <w:b w:val="1"/>
          <w:color w:val="1c1e21"/>
          <w:rtl w:val="0"/>
        </w:rPr>
        <w:t xml:space="preserve">Personal Information</w:t>
      </w:r>
      <w:r w:rsidDel="00000000" w:rsidR="00000000" w:rsidRPr="00000000">
        <w:rPr>
          <w:color w:val="1c1e21"/>
          <w:rtl w:val="0"/>
        </w:rPr>
        <w:t xml:space="preserve">,” “</w:t>
      </w:r>
      <w:r w:rsidDel="00000000" w:rsidR="00000000" w:rsidRPr="00000000">
        <w:rPr>
          <w:b w:val="1"/>
          <w:color w:val="1c1e21"/>
          <w:rtl w:val="0"/>
        </w:rPr>
        <w:t xml:space="preserve">Process(-ing)</w:t>
      </w:r>
      <w:r w:rsidDel="00000000" w:rsidR="00000000" w:rsidRPr="00000000">
        <w:rPr>
          <w:color w:val="1c1e21"/>
          <w:rtl w:val="0"/>
        </w:rPr>
        <w:t xml:space="preserve">” “</w:t>
      </w:r>
      <w:r w:rsidDel="00000000" w:rsidR="00000000" w:rsidRPr="00000000">
        <w:rPr>
          <w:b w:val="1"/>
          <w:color w:val="1c1e21"/>
          <w:rtl w:val="0"/>
        </w:rPr>
        <w:t xml:space="preserve">Processor</w:t>
      </w:r>
      <w:r w:rsidDel="00000000" w:rsidR="00000000" w:rsidRPr="00000000">
        <w:rPr>
          <w:color w:val="1c1e21"/>
          <w:rtl w:val="0"/>
        </w:rPr>
        <w:t xml:space="preserve">,” “</w:t>
      </w:r>
      <w:r w:rsidDel="00000000" w:rsidR="00000000" w:rsidRPr="00000000">
        <w:rPr>
          <w:b w:val="1"/>
          <w:color w:val="1c1e21"/>
          <w:rtl w:val="0"/>
        </w:rPr>
        <w:t xml:space="preserve">Sale</w:t>
      </w:r>
      <w:r w:rsidDel="00000000" w:rsidR="00000000" w:rsidRPr="00000000">
        <w:rPr>
          <w:color w:val="1c1e21"/>
          <w:rtl w:val="0"/>
        </w:rPr>
        <w:t xml:space="preserve">,” “</w:t>
      </w:r>
      <w:r w:rsidDel="00000000" w:rsidR="00000000" w:rsidRPr="00000000">
        <w:rPr>
          <w:b w:val="1"/>
          <w:color w:val="1c1e21"/>
          <w:rtl w:val="0"/>
        </w:rPr>
        <w:t xml:space="preserve">Sell</w:t>
      </w:r>
      <w:r w:rsidDel="00000000" w:rsidR="00000000" w:rsidRPr="00000000">
        <w:rPr>
          <w:color w:val="1c1e21"/>
          <w:rtl w:val="0"/>
        </w:rPr>
        <w:t xml:space="preserve">,” “</w:t>
      </w:r>
      <w:r w:rsidDel="00000000" w:rsidR="00000000" w:rsidRPr="00000000">
        <w:rPr>
          <w:b w:val="1"/>
          <w:color w:val="1c1e21"/>
          <w:rtl w:val="0"/>
        </w:rPr>
        <w:t xml:space="preserve">Service Provider</w:t>
      </w:r>
      <w:r w:rsidDel="00000000" w:rsidR="00000000" w:rsidRPr="00000000">
        <w:rPr>
          <w:color w:val="1c1e21"/>
          <w:rtl w:val="0"/>
        </w:rPr>
        <w:t xml:space="preserve">,” “</w:t>
      </w:r>
      <w:r w:rsidDel="00000000" w:rsidR="00000000" w:rsidRPr="00000000">
        <w:rPr>
          <w:b w:val="1"/>
          <w:color w:val="1c1e21"/>
          <w:rtl w:val="0"/>
        </w:rPr>
        <w:t xml:space="preserve">Share</w:t>
      </w:r>
      <w:r w:rsidDel="00000000" w:rsidR="00000000" w:rsidRPr="00000000">
        <w:rPr>
          <w:color w:val="1c1e21"/>
          <w:rtl w:val="0"/>
        </w:rPr>
        <w:t xml:space="preserve">,” “</w:t>
      </w:r>
      <w:r w:rsidDel="00000000" w:rsidR="00000000" w:rsidRPr="00000000">
        <w:rPr>
          <w:b w:val="1"/>
          <w:color w:val="1c1e21"/>
          <w:rtl w:val="0"/>
        </w:rPr>
        <w:t xml:space="preserve">Targeted Advertising</w:t>
      </w:r>
      <w:r w:rsidDel="00000000" w:rsidR="00000000" w:rsidRPr="00000000">
        <w:rPr>
          <w:color w:val="1c1e21"/>
          <w:rtl w:val="0"/>
        </w:rPr>
        <w:t xml:space="preserve">” and “</w:t>
      </w:r>
      <w:r w:rsidDel="00000000" w:rsidR="00000000" w:rsidRPr="00000000">
        <w:rPr>
          <w:b w:val="1"/>
          <w:color w:val="1c1e21"/>
          <w:rtl w:val="0"/>
        </w:rPr>
        <w:t xml:space="preserve">Third Party</w:t>
      </w:r>
      <w:r w:rsidDel="00000000" w:rsidR="00000000" w:rsidRPr="00000000">
        <w:rPr>
          <w:color w:val="1c1e21"/>
          <w:rtl w:val="0"/>
        </w:rPr>
        <w:t xml:space="preserve">” shall have the meanings ascribed to them in State Privacy Laws.</w:t>
      </w:r>
    </w:p>
    <w:bookmarkStart w:colFirst="0" w:colLast="0" w:name="aak84o72w5ff" w:id="14"/>
    <w:bookmarkEnd w:id="14"/>
    <w:p w:rsidR="00000000" w:rsidDel="00000000" w:rsidP="00000000" w:rsidRDefault="00000000" w:rsidRPr="00000000" w14:paraId="00000043">
      <w:pPr>
        <w:numPr>
          <w:ilvl w:val="1"/>
          <w:numId w:val="3"/>
        </w:numPr>
        <w:ind w:left="1440" w:hanging="360"/>
        <w:jc w:val="both"/>
        <w:rPr>
          <w:rFonts w:ascii="Lato" w:cs="Lato" w:eastAsia="Lato" w:hAnsi="Lato"/>
          <w:color w:val="1c1e21"/>
        </w:rPr>
      </w:pPr>
      <w:r w:rsidDel="00000000" w:rsidR="00000000" w:rsidRPr="00000000">
        <w:rPr>
          <w:color w:val="1c1e21"/>
          <w:rtl w:val="0"/>
        </w:rPr>
        <w:t xml:space="preserve">References in this Addendum to “</w:t>
      </w:r>
      <w:r w:rsidDel="00000000" w:rsidR="00000000" w:rsidRPr="00000000">
        <w:rPr>
          <w:b w:val="1"/>
          <w:color w:val="1c1e21"/>
          <w:rtl w:val="0"/>
        </w:rPr>
        <w:t xml:space="preserve">Controller</w:t>
      </w:r>
      <w:r w:rsidDel="00000000" w:rsidR="00000000" w:rsidRPr="00000000">
        <w:rPr>
          <w:color w:val="1c1e21"/>
          <w:rtl w:val="0"/>
        </w:rPr>
        <w:t xml:space="preserve">,” “</w:t>
      </w:r>
      <w:r w:rsidDel="00000000" w:rsidR="00000000" w:rsidRPr="00000000">
        <w:rPr>
          <w:b w:val="1"/>
          <w:color w:val="1c1e21"/>
          <w:rtl w:val="0"/>
        </w:rPr>
        <w:t xml:space="preserve">Personal Data</w:t>
      </w:r>
      <w:r w:rsidDel="00000000" w:rsidR="00000000" w:rsidRPr="00000000">
        <w:rPr>
          <w:color w:val="1c1e21"/>
          <w:rtl w:val="0"/>
        </w:rPr>
        <w:t xml:space="preserve">,” and “</w:t>
      </w:r>
      <w:r w:rsidDel="00000000" w:rsidR="00000000" w:rsidRPr="00000000">
        <w:rPr>
          <w:b w:val="1"/>
          <w:color w:val="1c1e21"/>
          <w:rtl w:val="0"/>
        </w:rPr>
        <w:t xml:space="preserve">Processor</w:t>
      </w:r>
      <w:r w:rsidDel="00000000" w:rsidR="00000000" w:rsidRPr="00000000">
        <w:rPr>
          <w:color w:val="1c1e21"/>
          <w:rtl w:val="0"/>
        </w:rPr>
        <w:t xml:space="preserve">” include “</w:t>
      </w:r>
      <w:r w:rsidDel="00000000" w:rsidR="00000000" w:rsidRPr="00000000">
        <w:rPr>
          <w:b w:val="1"/>
          <w:color w:val="1c1e21"/>
          <w:rtl w:val="0"/>
        </w:rPr>
        <w:t xml:space="preserve">Business</w:t>
      </w:r>
      <w:r w:rsidDel="00000000" w:rsidR="00000000" w:rsidRPr="00000000">
        <w:rPr>
          <w:color w:val="1c1e21"/>
          <w:rtl w:val="0"/>
        </w:rPr>
        <w:t xml:space="preserve">,” “</w:t>
      </w:r>
      <w:r w:rsidDel="00000000" w:rsidR="00000000" w:rsidRPr="00000000">
        <w:rPr>
          <w:b w:val="1"/>
          <w:color w:val="1c1e21"/>
          <w:rtl w:val="0"/>
        </w:rPr>
        <w:t xml:space="preserve">Personal Information</w:t>
      </w:r>
      <w:r w:rsidDel="00000000" w:rsidR="00000000" w:rsidRPr="00000000">
        <w:rPr>
          <w:color w:val="1c1e21"/>
          <w:rtl w:val="0"/>
        </w:rPr>
        <w:t xml:space="preserve">,” and “</w:t>
      </w:r>
      <w:r w:rsidDel="00000000" w:rsidR="00000000" w:rsidRPr="00000000">
        <w:rPr>
          <w:b w:val="1"/>
          <w:color w:val="1c1e21"/>
          <w:rtl w:val="0"/>
        </w:rPr>
        <w:t xml:space="preserve">Service Provider</w:t>
      </w:r>
      <w:r w:rsidDel="00000000" w:rsidR="00000000" w:rsidRPr="00000000">
        <w:rPr>
          <w:color w:val="1c1e21"/>
          <w:rtl w:val="0"/>
        </w:rPr>
        <w:t xml:space="preserve">” respectively.</w:t>
      </w:r>
    </w:p>
    <w:p w:rsidR="00000000" w:rsidDel="00000000" w:rsidP="00000000" w:rsidRDefault="00000000" w:rsidRPr="00000000" w14:paraId="00000044">
      <w:pPr>
        <w:jc w:val="both"/>
        <w:rPr>
          <w:color w:val="1c1e21"/>
        </w:rPr>
      </w:pPr>
      <w:r w:rsidDel="00000000" w:rsidR="00000000" w:rsidRPr="00000000">
        <w:rPr>
          <w:rtl w:val="0"/>
        </w:rPr>
      </w:r>
    </w:p>
    <w:bookmarkStart w:colFirst="0" w:colLast="0" w:name="79jwguwft0fg" w:id="15"/>
    <w:bookmarkEnd w:id="15"/>
    <w:p w:rsidR="00000000" w:rsidDel="00000000" w:rsidP="00000000" w:rsidRDefault="00000000" w:rsidRPr="00000000" w14:paraId="00000045">
      <w:pPr>
        <w:numPr>
          <w:ilvl w:val="0"/>
          <w:numId w:val="3"/>
        </w:numPr>
        <w:ind w:left="720" w:hanging="360"/>
        <w:jc w:val="both"/>
        <w:rPr>
          <w:rFonts w:ascii="Lato" w:cs="Lato" w:eastAsia="Lato" w:hAnsi="Lato"/>
          <w:color w:val="1c1e21"/>
        </w:rPr>
      </w:pPr>
      <w:r w:rsidDel="00000000" w:rsidR="00000000" w:rsidRPr="00000000">
        <w:rPr>
          <w:b w:val="1"/>
          <w:color w:val="1c1e21"/>
          <w:u w:val="single"/>
          <w:rtl w:val="0"/>
        </w:rPr>
        <w:t xml:space="preserve">Roles</w:t>
      </w:r>
      <w:r w:rsidDel="00000000" w:rsidR="00000000" w:rsidRPr="00000000">
        <w:rPr>
          <w:b w:val="1"/>
          <w:color w:val="1c1e21"/>
          <w:rtl w:val="0"/>
        </w:rPr>
        <w:t xml:space="preserve">.</w:t>
      </w:r>
      <w:r w:rsidDel="00000000" w:rsidR="00000000" w:rsidRPr="00000000">
        <w:rPr>
          <w:color w:val="1c1e21"/>
          <w:rtl w:val="0"/>
        </w:rPr>
        <w:t xml:space="preserve">  </w:t>
      </w:r>
      <w:r w:rsidDel="00000000" w:rsidR="00000000" w:rsidRPr="00000000">
        <w:rPr>
          <w:color w:val="1c1e21"/>
          <w:rtl w:val="0"/>
        </w:rPr>
        <w:t xml:space="preserve">With respect to the Processing of Personal Data, each Party acts as a Controller, unless a Restricted Processing Signal is present, in which case Receiving Party acts as a Processor and Processes the Personal Data on behalf of Disclosing Party (which may operate as either the Controller or a Processor to another Controller). </w:t>
      </w:r>
      <w:r w:rsidDel="00000000" w:rsidR="00000000" w:rsidRPr="00000000">
        <w:rPr>
          <w:color w:val="1c1e21"/>
          <w:rtl w:val="0"/>
        </w:rPr>
        <w:t xml:space="preserve">[Where Disclosing Party, as a Processor on behalf of a Controller, provides Personal Data to Receiving Party, the Disclosing Party will ensure that the Controller on whose behalf it is providing Personal Data has agreed to the obligations set forth in Section 4 herein.</w:t>
      </w:r>
      <w:r w:rsidDel="00000000" w:rsidR="00000000" w:rsidRPr="00000000">
        <w:rPr>
          <w:color w:val="1c1e21"/>
          <w:rtl w:val="0"/>
        </w:rPr>
        <w:t xml:space="preserve">]</w:t>
      </w:r>
      <w:r w:rsidDel="00000000" w:rsidR="00000000" w:rsidRPr="00000000">
        <w:rPr>
          <w:rtl w:val="0"/>
        </w:rPr>
      </w:r>
    </w:p>
    <w:p w:rsidR="00000000" w:rsidDel="00000000" w:rsidP="00000000" w:rsidRDefault="00000000" w:rsidRPr="00000000" w14:paraId="00000046">
      <w:pPr>
        <w:ind w:left="720" w:firstLine="0"/>
        <w:jc w:val="both"/>
        <w:rPr>
          <w:color w:val="1c1e21"/>
        </w:rPr>
      </w:pPr>
      <w:r w:rsidDel="00000000" w:rsidR="00000000" w:rsidRPr="00000000">
        <w:rPr>
          <w:rtl w:val="0"/>
        </w:rPr>
      </w:r>
    </w:p>
    <w:bookmarkStart w:colFirst="0" w:colLast="0" w:name="canykdxgglk4" w:id="16"/>
    <w:bookmarkEnd w:id="16"/>
    <w:p w:rsidR="00000000" w:rsidDel="00000000" w:rsidP="00000000" w:rsidRDefault="00000000" w:rsidRPr="00000000" w14:paraId="00000047">
      <w:pPr>
        <w:numPr>
          <w:ilvl w:val="0"/>
          <w:numId w:val="3"/>
        </w:numPr>
        <w:ind w:left="720" w:hanging="360"/>
        <w:jc w:val="both"/>
        <w:rPr>
          <w:b w:val="1"/>
          <w:color w:val="1c1e21"/>
        </w:rPr>
      </w:pPr>
      <w:r w:rsidDel="00000000" w:rsidR="00000000" w:rsidRPr="00000000">
        <w:rPr>
          <w:b w:val="1"/>
          <w:color w:val="1c1e21"/>
          <w:u w:val="single"/>
          <w:rtl w:val="0"/>
        </w:rPr>
        <w:t xml:space="preserve">Mutual Processing Obligations</w:t>
      </w:r>
      <w:r w:rsidDel="00000000" w:rsidR="00000000" w:rsidRPr="00000000">
        <w:rPr>
          <w:b w:val="1"/>
          <w:color w:val="1c1e21"/>
          <w:rtl w:val="0"/>
        </w:rPr>
        <w:t xml:space="preserve">.</w:t>
        <w:tab/>
      </w:r>
      <w:r w:rsidDel="00000000" w:rsidR="00000000" w:rsidRPr="00000000">
        <w:rPr>
          <w:color w:val="1c1e21"/>
          <w:rtl w:val="0"/>
        </w:rPr>
        <w:t xml:space="preserve">Each Party will:</w:t>
      </w:r>
      <w:r w:rsidDel="00000000" w:rsidR="00000000" w:rsidRPr="00000000">
        <w:rPr>
          <w:rtl w:val="0"/>
        </w:rPr>
      </w:r>
    </w:p>
    <w:bookmarkStart w:colFirst="0" w:colLast="0" w:name="75ab7dvbmk6p" w:id="17"/>
    <w:bookmarkEnd w:id="17"/>
    <w:p w:rsidR="00000000" w:rsidDel="00000000" w:rsidP="00000000" w:rsidRDefault="00000000" w:rsidRPr="00000000" w14:paraId="00000048">
      <w:pPr>
        <w:numPr>
          <w:ilvl w:val="1"/>
          <w:numId w:val="3"/>
        </w:numPr>
        <w:ind w:left="1440" w:hanging="360"/>
        <w:jc w:val="both"/>
        <w:rPr>
          <w:color w:val="1c1e21"/>
        </w:rPr>
      </w:pPr>
      <w:r w:rsidDel="00000000" w:rsidR="00000000" w:rsidRPr="00000000">
        <w:rPr>
          <w:color w:val="1c1e21"/>
          <w:rtl w:val="0"/>
        </w:rPr>
        <w:t xml:space="preserve">Comply with its respective obligations under State Privacy Laws with respect to the Processing of Personal Data.</w:t>
      </w:r>
    </w:p>
    <w:bookmarkStart w:colFirst="0" w:colLast="0" w:name="p6gec1e6eq2x" w:id="18"/>
    <w:bookmarkEnd w:id="18"/>
    <w:p w:rsidR="00000000" w:rsidDel="00000000" w:rsidP="00000000" w:rsidRDefault="00000000" w:rsidRPr="00000000" w14:paraId="00000049">
      <w:pPr>
        <w:numPr>
          <w:ilvl w:val="1"/>
          <w:numId w:val="3"/>
        </w:numPr>
        <w:ind w:left="1440" w:hanging="360"/>
        <w:jc w:val="both"/>
        <w:rPr>
          <w:color w:val="1c1e21"/>
        </w:rPr>
      </w:pPr>
      <w:r w:rsidDel="00000000" w:rsidR="00000000" w:rsidRPr="00000000">
        <w:rPr>
          <w:color w:val="1c1e21"/>
          <w:rtl w:val="0"/>
        </w:rPr>
        <w:t xml:space="preserve">Provide Consumers with a clear and conspicuous ability to opt out of the Sale, Sharing, or Processing of their Personal Data for purposes of Targeted Advertising, in compliance with State Privacy Laws.  If a Consumer opts out, Disclosing Party will (i) not Process such Consumer’s Personal Data for Targeted Advertising purposes and (ii) will either (a) not disclose such  Consumer’s Personal Data to any Third Party; or (b) transmit a Restricted Processing Signal in conjunction with any disclosures of such Consumer’s Personal Data to any Third Party.</w:t>
      </w:r>
    </w:p>
    <w:bookmarkStart w:colFirst="0" w:colLast="0" w:name="61tgg6qcod1j" w:id="19"/>
    <w:bookmarkEnd w:id="19"/>
    <w:p w:rsidR="00000000" w:rsidDel="00000000" w:rsidP="00000000" w:rsidRDefault="00000000" w:rsidRPr="00000000" w14:paraId="0000004A">
      <w:pPr>
        <w:numPr>
          <w:ilvl w:val="1"/>
          <w:numId w:val="3"/>
        </w:numPr>
        <w:ind w:left="1440" w:hanging="360"/>
        <w:jc w:val="both"/>
        <w:rPr>
          <w:color w:val="1c1e21"/>
        </w:rPr>
      </w:pPr>
      <w:r w:rsidDel="00000000" w:rsidR="00000000" w:rsidRPr="00000000">
        <w:rPr>
          <w:color w:val="1c1e21"/>
          <w:rtl w:val="0"/>
        </w:rPr>
        <w:t xml:space="preserve">Not modify any Restricted Processing Signal received from a Disclosing Party.</w:t>
      </w:r>
    </w:p>
    <w:bookmarkStart w:colFirst="0" w:colLast="0" w:name="lyd3uvmmbc8k" w:id="20"/>
    <w:bookmarkEnd w:id="20"/>
    <w:p w:rsidR="00000000" w:rsidDel="00000000" w:rsidP="00000000" w:rsidRDefault="00000000" w:rsidRPr="00000000" w14:paraId="0000004B">
      <w:pPr>
        <w:numPr>
          <w:ilvl w:val="1"/>
          <w:numId w:val="3"/>
        </w:numPr>
        <w:ind w:left="1440" w:hanging="360"/>
        <w:jc w:val="both"/>
        <w:rPr>
          <w:color w:val="1c1e21"/>
        </w:rPr>
      </w:pPr>
      <w:r w:rsidDel="00000000" w:rsidR="00000000" w:rsidRPr="00000000">
        <w:rPr>
          <w:color w:val="1c1e21"/>
          <w:rtl w:val="0"/>
        </w:rPr>
        <w:t xml:space="preserve">Transmit all Restricted Processing Signals received in conjunction with Personal Data to any recipients of such Personal Data.</w:t>
      </w:r>
    </w:p>
    <w:bookmarkStart w:colFirst="0" w:colLast="0" w:name="im3ompy39kzp" w:id="21"/>
    <w:bookmarkEnd w:id="21"/>
    <w:p w:rsidR="00000000" w:rsidDel="00000000" w:rsidP="00000000" w:rsidRDefault="00000000" w:rsidRPr="00000000" w14:paraId="0000004C">
      <w:pPr>
        <w:numPr>
          <w:ilvl w:val="1"/>
          <w:numId w:val="3"/>
        </w:numPr>
        <w:ind w:left="1440" w:hanging="360"/>
        <w:jc w:val="both"/>
        <w:rPr>
          <w:color w:val="1c1e21"/>
        </w:rPr>
      </w:pPr>
      <w:r w:rsidDel="00000000" w:rsidR="00000000" w:rsidRPr="00000000">
        <w:rPr>
          <w:color w:val="1c1e21"/>
          <w:rtl w:val="0"/>
        </w:rPr>
        <w:t xml:space="preserve">Comply with requirements set out in State Privacy Laws for processing Deidentified Data, including by</w:t>
      </w:r>
      <w:r w:rsidDel="00000000" w:rsidR="00000000" w:rsidRPr="00000000">
        <w:rPr>
          <w:color w:val="1c1e21"/>
          <w:rtl w:val="0"/>
        </w:rPr>
        <w:t xml:space="preserve">:</w:t>
      </w:r>
    </w:p>
    <w:p w:rsidR="00000000" w:rsidDel="00000000" w:rsidP="00000000" w:rsidRDefault="00000000" w:rsidRPr="00000000" w14:paraId="0000004D">
      <w:pPr>
        <w:numPr>
          <w:ilvl w:val="2"/>
          <w:numId w:val="3"/>
        </w:numPr>
        <w:ind w:left="2160" w:hanging="360"/>
        <w:jc w:val="both"/>
        <w:rPr>
          <w:color w:val="1c1e21"/>
        </w:rPr>
      </w:pPr>
      <w:r w:rsidDel="00000000" w:rsidR="00000000" w:rsidRPr="00000000">
        <w:rPr>
          <w:color w:val="1c1e21"/>
          <w:rtl w:val="0"/>
        </w:rPr>
        <w:t xml:space="preserve">Not attempting to re-identify any such data;</w:t>
      </w:r>
    </w:p>
    <w:p w:rsidR="00000000" w:rsidDel="00000000" w:rsidP="00000000" w:rsidRDefault="00000000" w:rsidRPr="00000000" w14:paraId="0000004E">
      <w:pPr>
        <w:numPr>
          <w:ilvl w:val="2"/>
          <w:numId w:val="3"/>
        </w:numPr>
        <w:ind w:left="2160" w:hanging="360"/>
        <w:jc w:val="both"/>
        <w:rPr>
          <w:color w:val="1c1e21"/>
        </w:rPr>
      </w:pPr>
      <w:r w:rsidDel="00000000" w:rsidR="00000000" w:rsidRPr="00000000">
        <w:rPr>
          <w:color w:val="1c1e21"/>
          <w:rtl w:val="0"/>
        </w:rPr>
        <w:t xml:space="preserve">Using reasonable administrative, technical, and organizational measures to prevent any re-identification of any such data or any inadvertent release of any such data; and </w:t>
      </w:r>
    </w:p>
    <w:p w:rsidR="00000000" w:rsidDel="00000000" w:rsidP="00000000" w:rsidRDefault="00000000" w:rsidRPr="00000000" w14:paraId="0000004F">
      <w:pPr>
        <w:numPr>
          <w:ilvl w:val="2"/>
          <w:numId w:val="3"/>
        </w:numPr>
        <w:ind w:left="2160" w:hanging="360"/>
        <w:jc w:val="both"/>
        <w:rPr>
          <w:color w:val="1c1e21"/>
        </w:rPr>
      </w:pPr>
      <w:r w:rsidDel="00000000" w:rsidR="00000000" w:rsidRPr="00000000">
        <w:rPr>
          <w:color w:val="1c1e21"/>
          <w:rtl w:val="0"/>
        </w:rPr>
        <w:t xml:space="preserve">Publicly committing both to maintain and use the Deidentified Data in de-identified form and not to attempt to re-identify any such data.</w:t>
      </w:r>
    </w:p>
    <w:bookmarkStart w:colFirst="0" w:colLast="0" w:name="u2gkv59tb3xr" w:id="22"/>
    <w:bookmarkEnd w:id="22"/>
    <w:p w:rsidR="00000000" w:rsidDel="00000000" w:rsidP="00000000" w:rsidRDefault="00000000" w:rsidRPr="00000000" w14:paraId="00000050">
      <w:pPr>
        <w:numPr>
          <w:ilvl w:val="1"/>
          <w:numId w:val="3"/>
        </w:numPr>
        <w:ind w:left="1440" w:hanging="360"/>
        <w:jc w:val="both"/>
        <w:rPr>
          <w:color w:val="1c1e21"/>
        </w:rPr>
      </w:pPr>
      <w:r w:rsidDel="00000000" w:rsidR="00000000" w:rsidRPr="00000000">
        <w:rPr>
          <w:color w:val="1c1e21"/>
          <w:rtl w:val="0"/>
        </w:rPr>
        <w:t xml:space="preserve">To the extent acting as a Disclosing Party:</w:t>
      </w:r>
    </w:p>
    <w:p w:rsidR="00000000" w:rsidDel="00000000" w:rsidP="00000000" w:rsidRDefault="00000000" w:rsidRPr="00000000" w14:paraId="00000051">
      <w:pPr>
        <w:numPr>
          <w:ilvl w:val="2"/>
          <w:numId w:val="3"/>
        </w:numPr>
        <w:ind w:left="2160" w:hanging="360"/>
        <w:jc w:val="both"/>
        <w:rPr>
          <w:color w:val="1c1e21"/>
        </w:rPr>
      </w:pPr>
      <w:r w:rsidDel="00000000" w:rsidR="00000000" w:rsidRPr="00000000">
        <w:rPr>
          <w:color w:val="1c1e21"/>
          <w:rtl w:val="0"/>
        </w:rPr>
        <w:t xml:space="preserve">Provide all notices and obtain any consents required by State Privacy Laws necessary to permit each Party to Process Personal Data in accordance with this Addendum; and</w:t>
      </w:r>
    </w:p>
    <w:p w:rsidR="00000000" w:rsidDel="00000000" w:rsidP="00000000" w:rsidRDefault="00000000" w:rsidRPr="00000000" w14:paraId="00000052">
      <w:pPr>
        <w:numPr>
          <w:ilvl w:val="2"/>
          <w:numId w:val="3"/>
        </w:numPr>
        <w:ind w:left="2160" w:hanging="360"/>
        <w:jc w:val="both"/>
        <w:rPr>
          <w:color w:val="1c1e21"/>
        </w:rPr>
      </w:pPr>
      <w:r w:rsidDel="00000000" w:rsidR="00000000" w:rsidRPr="00000000">
        <w:rPr>
          <w:color w:val="1c1e21"/>
          <w:rtl w:val="0"/>
        </w:rPr>
        <w:t xml:space="preserve">To the extent providing Personal Data originally collected by another Controller, </w:t>
      </w:r>
      <w:r w:rsidDel="00000000" w:rsidR="00000000" w:rsidRPr="00000000">
        <w:rPr>
          <w:color w:val="1c1e21"/>
          <w:rtl w:val="0"/>
        </w:rPr>
        <w:t xml:space="preserve">(i) contractually obligate such Controller to provide all notices and obtain any consents required by State Privacy Laws necessary to permit each Party to Process Personal Data in accordance with this Addendum and (ii) take reasonable steps to ensure compliance with such contractual obligation</w:t>
      </w:r>
      <w:r w:rsidDel="00000000" w:rsidR="00000000" w:rsidRPr="00000000">
        <w:rPr>
          <w:color w:val="1c1e21"/>
          <w:rtl w:val="0"/>
        </w:rPr>
        <w:t xml:space="preserve">s.</w:t>
      </w:r>
    </w:p>
    <w:bookmarkStart w:colFirst="0" w:colLast="0" w:name="ngybrpr043fy" w:id="23"/>
    <w:bookmarkEnd w:id="23"/>
    <w:p w:rsidR="00000000" w:rsidDel="00000000" w:rsidP="00000000" w:rsidRDefault="00000000" w:rsidRPr="00000000" w14:paraId="00000053">
      <w:pPr>
        <w:numPr>
          <w:ilvl w:val="1"/>
          <w:numId w:val="3"/>
        </w:numPr>
        <w:ind w:left="1440" w:hanging="360"/>
        <w:jc w:val="both"/>
        <w:rPr>
          <w:color w:val="1c1e21"/>
        </w:rPr>
      </w:pPr>
      <w:r w:rsidDel="00000000" w:rsidR="00000000" w:rsidRPr="00000000">
        <w:rPr>
          <w:color w:val="1c1e21"/>
          <w:rtl w:val="0"/>
        </w:rPr>
        <w:t xml:space="preserve">To the extent acting as a the Receiving Party, comply with:</w:t>
      </w:r>
    </w:p>
    <w:p w:rsidR="00000000" w:rsidDel="00000000" w:rsidP="00000000" w:rsidRDefault="00000000" w:rsidRPr="00000000" w14:paraId="00000054">
      <w:pPr>
        <w:numPr>
          <w:ilvl w:val="2"/>
          <w:numId w:val="3"/>
        </w:numPr>
        <w:ind w:left="2160" w:hanging="360"/>
        <w:jc w:val="both"/>
        <w:rPr>
          <w:color w:val="1c1e21"/>
        </w:rPr>
      </w:pPr>
      <w:r w:rsidDel="00000000" w:rsidR="00000000" w:rsidRPr="00000000">
        <w:rPr>
          <w:color w:val="1c1e21"/>
          <w:rtl w:val="0"/>
        </w:rPr>
        <w:t xml:space="preserve">Section 5 (CCPA Third Party Terms) when Processing Personal Data subject to the CCPA and without a Restricted Processing Signal present.</w:t>
      </w:r>
    </w:p>
    <w:p w:rsidR="00000000" w:rsidDel="00000000" w:rsidP="00000000" w:rsidRDefault="00000000" w:rsidRPr="00000000" w14:paraId="00000055">
      <w:pPr>
        <w:numPr>
          <w:ilvl w:val="2"/>
          <w:numId w:val="3"/>
        </w:numPr>
        <w:ind w:left="2160" w:hanging="360"/>
        <w:jc w:val="both"/>
        <w:rPr>
          <w:color w:val="1c1e21"/>
        </w:rPr>
      </w:pPr>
      <w:r w:rsidDel="00000000" w:rsidR="00000000" w:rsidRPr="00000000">
        <w:rPr>
          <w:color w:val="1c1e21"/>
          <w:rtl w:val="0"/>
        </w:rPr>
        <w:t xml:space="preserve">Section 6 (Processor Obligations), when Processing Personal Data received with a Restricted Processing Signal present.</w:t>
      </w:r>
    </w:p>
    <w:p w:rsidR="00000000" w:rsidDel="00000000" w:rsidP="00000000" w:rsidRDefault="00000000" w:rsidRPr="00000000" w14:paraId="00000056">
      <w:pPr>
        <w:ind w:left="2160" w:firstLine="0"/>
        <w:jc w:val="both"/>
        <w:rPr>
          <w:color w:val="1c1e21"/>
        </w:rPr>
      </w:pPr>
      <w:r w:rsidDel="00000000" w:rsidR="00000000" w:rsidRPr="00000000">
        <w:rPr>
          <w:rtl w:val="0"/>
        </w:rPr>
      </w:r>
    </w:p>
    <w:bookmarkStart w:colFirst="0" w:colLast="0" w:name="rqvbu46jh1vg" w:id="24"/>
    <w:bookmarkEnd w:id="24"/>
    <w:p w:rsidR="00000000" w:rsidDel="00000000" w:rsidP="00000000" w:rsidRDefault="00000000" w:rsidRPr="00000000" w14:paraId="00000057">
      <w:pPr>
        <w:numPr>
          <w:ilvl w:val="0"/>
          <w:numId w:val="3"/>
        </w:numPr>
        <w:ind w:left="720" w:hanging="360"/>
        <w:jc w:val="both"/>
        <w:rPr>
          <w:b w:val="1"/>
          <w:color w:val="1c1e21"/>
        </w:rPr>
      </w:pPr>
      <w:r w:rsidDel="00000000" w:rsidR="00000000" w:rsidRPr="00000000">
        <w:rPr>
          <w:b w:val="1"/>
          <w:color w:val="1c1e21"/>
          <w:u w:val="single"/>
          <w:rtl w:val="0"/>
        </w:rPr>
        <w:t xml:space="preserve">CCPA Third Party Terms</w:t>
      </w:r>
      <w:r w:rsidDel="00000000" w:rsidR="00000000" w:rsidRPr="00000000">
        <w:rPr>
          <w:rtl w:val="0"/>
        </w:rPr>
      </w:r>
    </w:p>
    <w:bookmarkStart w:colFirst="0" w:colLast="0" w:name="t2ly1hhhuseq" w:id="25"/>
    <w:bookmarkEnd w:id="25"/>
    <w:p w:rsidR="00000000" w:rsidDel="00000000" w:rsidP="00000000" w:rsidRDefault="00000000" w:rsidRPr="00000000" w14:paraId="00000058">
      <w:pPr>
        <w:numPr>
          <w:ilvl w:val="1"/>
          <w:numId w:val="3"/>
        </w:numPr>
        <w:ind w:left="1440" w:hanging="360"/>
        <w:jc w:val="both"/>
        <w:rPr>
          <w:color w:val="1c1e21"/>
        </w:rPr>
      </w:pPr>
      <w:r w:rsidDel="00000000" w:rsidR="00000000" w:rsidRPr="00000000">
        <w:rPr>
          <w:b w:val="1"/>
          <w:color w:val="1c1e21"/>
          <w:rtl w:val="0"/>
        </w:rPr>
        <w:t xml:space="preserve">Applicability.</w:t>
      </w:r>
      <w:r w:rsidDel="00000000" w:rsidR="00000000" w:rsidRPr="00000000">
        <w:rPr>
          <w:color w:val="1c1e21"/>
          <w:rtl w:val="0"/>
        </w:rPr>
        <w:t xml:space="preserve">  This Section 5 (CCPA Third Party Terms) applies only when the Receiving Party Processes Personal Data from the Disclosing Party (i) that is subject to the CCPA; and (ii) no Restricted Processing Signal is present.</w:t>
      </w:r>
    </w:p>
    <w:bookmarkStart w:colFirst="0" w:colLast="0" w:name="cnlaegpqplmk" w:id="26"/>
    <w:bookmarkEnd w:id="26"/>
    <w:p w:rsidR="00000000" w:rsidDel="00000000" w:rsidP="00000000" w:rsidRDefault="00000000" w:rsidRPr="00000000" w14:paraId="00000059">
      <w:pPr>
        <w:numPr>
          <w:ilvl w:val="1"/>
          <w:numId w:val="3"/>
        </w:numPr>
        <w:ind w:left="1440" w:hanging="360"/>
        <w:jc w:val="both"/>
        <w:rPr>
          <w:color w:val="1c1e21"/>
        </w:rPr>
      </w:pPr>
      <w:r w:rsidDel="00000000" w:rsidR="00000000" w:rsidRPr="00000000">
        <w:rPr>
          <w:b w:val="1"/>
          <w:color w:val="1c1e21"/>
          <w:rtl w:val="0"/>
        </w:rPr>
        <w:t xml:space="preserve">Purpose Limitations.</w:t>
      </w:r>
      <w:r w:rsidDel="00000000" w:rsidR="00000000" w:rsidRPr="00000000">
        <w:rPr>
          <w:color w:val="1c1e21"/>
          <w:rtl w:val="0"/>
        </w:rPr>
        <w:t xml:space="preserve">  Disclosing Party makes Personal Data available to Receiving Party only for Advertising Purposes. Receiving Party will Process Personal Data only for such Advertising Purposes, and in accordance with its obligations and any restrictions in the Agreement.</w:t>
      </w:r>
      <w:r w:rsidDel="00000000" w:rsidR="00000000" w:rsidRPr="00000000">
        <w:rPr>
          <w:color w:val="1c1e21"/>
          <w:rtl w:val="0"/>
        </w:rPr>
        <w:t xml:space="preserve">  </w:t>
      </w:r>
    </w:p>
    <w:bookmarkStart w:colFirst="0" w:colLast="0" w:name="wp58m2dyubq" w:id="27"/>
    <w:bookmarkEnd w:id="27"/>
    <w:p w:rsidR="00000000" w:rsidDel="00000000" w:rsidP="00000000" w:rsidRDefault="00000000" w:rsidRPr="00000000" w14:paraId="0000005A">
      <w:pPr>
        <w:numPr>
          <w:ilvl w:val="1"/>
          <w:numId w:val="3"/>
        </w:numPr>
        <w:ind w:left="1440" w:hanging="360"/>
        <w:jc w:val="both"/>
        <w:rPr>
          <w:color w:val="1c1e21"/>
        </w:rPr>
      </w:pPr>
      <w:r w:rsidDel="00000000" w:rsidR="00000000" w:rsidRPr="00000000">
        <w:rPr>
          <w:b w:val="1"/>
          <w:color w:val="1c1e21"/>
          <w:rtl w:val="0"/>
        </w:rPr>
        <w:t xml:space="preserve">CCPA Compliance; Notification of Determination of Noncompliance.</w:t>
      </w:r>
      <w:r w:rsidDel="00000000" w:rsidR="00000000" w:rsidRPr="00000000">
        <w:rPr>
          <w:color w:val="1c1e21"/>
          <w:rtl w:val="0"/>
        </w:rPr>
        <w:t xml:space="preserve">  Receiving Party will comply with applicable obligations under the CCPA, including by providing an appropriate level of privacy protection as required by the CCPA, and will notify Disclosing Party without undue delay if Receiving Party determines it can no longer meet its obligations under the CCPA.</w:t>
      </w:r>
    </w:p>
    <w:bookmarkStart w:colFirst="0" w:colLast="0" w:name="z38p04eq502c" w:id="28"/>
    <w:bookmarkEnd w:id="28"/>
    <w:p w:rsidR="00000000" w:rsidDel="00000000" w:rsidP="00000000" w:rsidRDefault="00000000" w:rsidRPr="00000000" w14:paraId="0000005B">
      <w:pPr>
        <w:numPr>
          <w:ilvl w:val="1"/>
          <w:numId w:val="3"/>
        </w:numPr>
        <w:ind w:left="1440" w:hanging="360"/>
        <w:jc w:val="both"/>
        <w:rPr>
          <w:color w:val="1c1e21"/>
        </w:rPr>
      </w:pPr>
      <w:r w:rsidDel="00000000" w:rsidR="00000000" w:rsidRPr="00000000">
        <w:rPr>
          <w:b w:val="1"/>
          <w:color w:val="1c1e21"/>
          <w:rtl w:val="0"/>
        </w:rPr>
        <w:t xml:space="preserve">Verification of CCPA Compliance.</w:t>
      </w:r>
      <w:r w:rsidDel="00000000" w:rsidR="00000000" w:rsidRPr="00000000">
        <w:rPr>
          <w:color w:val="1c1e21"/>
          <w:rtl w:val="0"/>
        </w:rPr>
        <w:t xml:space="preserve">  Upon Disclosing Party’s reasonable request, Receiving Party will provide the following to Disclosing Party to demonstrate Receiving Party’s Processing of Personal Data consistent with Disclosing Party’s obligations under the CCPA:</w:t>
      </w:r>
    </w:p>
    <w:p w:rsidR="00000000" w:rsidDel="00000000" w:rsidP="00000000" w:rsidRDefault="00000000" w:rsidRPr="00000000" w14:paraId="0000005C">
      <w:pPr>
        <w:numPr>
          <w:ilvl w:val="2"/>
          <w:numId w:val="3"/>
        </w:numPr>
        <w:ind w:left="2160" w:hanging="360"/>
        <w:jc w:val="both"/>
        <w:rPr>
          <w:color w:val="1c1e21"/>
        </w:rPr>
      </w:pPr>
      <w:r w:rsidDel="00000000" w:rsidR="00000000" w:rsidRPr="00000000">
        <w:rPr>
          <w:color w:val="1c1e21"/>
          <w:rtl w:val="0"/>
        </w:rPr>
        <w:t xml:space="preserve">A copy of a certificate issued for security verification reflecting the outcome of an audit conducted by an independent third-party auditor; or</w:t>
      </w:r>
    </w:p>
    <w:p w:rsidR="00000000" w:rsidDel="00000000" w:rsidP="00000000" w:rsidRDefault="00000000" w:rsidRPr="00000000" w14:paraId="0000005D">
      <w:pPr>
        <w:numPr>
          <w:ilvl w:val="2"/>
          <w:numId w:val="3"/>
        </w:numPr>
        <w:ind w:left="2160" w:hanging="360"/>
        <w:jc w:val="both"/>
        <w:rPr>
          <w:color w:val="1c1e21"/>
        </w:rPr>
      </w:pPr>
      <w:r w:rsidDel="00000000" w:rsidR="00000000" w:rsidRPr="00000000">
        <w:rPr>
          <w:color w:val="1c1e21"/>
          <w:rtl w:val="0"/>
        </w:rPr>
        <w:t xml:space="preserve">Any other information the Parties agree is reasonably necessary for Disclosing Party to verify Receiving Party’s Processing is consistent with Disclosing Party’s obligations under the CCPA, such as an </w:t>
      </w:r>
      <w:r w:rsidDel="00000000" w:rsidR="00000000" w:rsidRPr="00000000">
        <w:rPr>
          <w:color w:val="1c1e21"/>
          <w:rtl w:val="0"/>
        </w:rPr>
        <w:t xml:space="preserve">attestation</w:t>
      </w:r>
      <w:r w:rsidDel="00000000" w:rsidR="00000000" w:rsidRPr="00000000">
        <w:rPr>
          <w:color w:val="1c1e21"/>
          <w:rtl w:val="0"/>
        </w:rPr>
        <w:t xml:space="preserve">.</w:t>
      </w:r>
    </w:p>
    <w:bookmarkStart w:colFirst="0" w:colLast="0" w:name="dw9c2ja0uebm" w:id="29"/>
    <w:bookmarkEnd w:id="29"/>
    <w:p w:rsidR="00000000" w:rsidDel="00000000" w:rsidP="00000000" w:rsidRDefault="00000000" w:rsidRPr="00000000" w14:paraId="0000005E">
      <w:pPr>
        <w:numPr>
          <w:ilvl w:val="1"/>
          <w:numId w:val="3"/>
        </w:numPr>
        <w:ind w:left="1440" w:hanging="360"/>
        <w:jc w:val="both"/>
        <w:rPr>
          <w:color w:val="1c1e21"/>
        </w:rPr>
      </w:pPr>
      <w:r w:rsidDel="00000000" w:rsidR="00000000" w:rsidRPr="00000000">
        <w:rPr>
          <w:b w:val="1"/>
          <w:color w:val="1c1e21"/>
          <w:rtl w:val="0"/>
        </w:rPr>
        <w:t xml:space="preserve">Unauthorized Use Remediation.</w:t>
      </w:r>
      <w:r w:rsidDel="00000000" w:rsidR="00000000" w:rsidRPr="00000000">
        <w:rPr>
          <w:color w:val="1c1e21"/>
          <w:rtl w:val="0"/>
        </w:rPr>
        <w:t xml:space="preserve">  If Disclosing Party reasonably believes that Receiving Party is engaged in the unauthorized use of Personal Data provided by Disclosing Party, Disclosing Party may notify Receiving Party of such belief using the contact information provided in the Agreement, and the Parties will work together in good faith to stop or remediate the allegedly unauthorized use of such Personal Data, as necessary.</w:t>
      </w:r>
    </w:p>
    <w:bookmarkStart w:colFirst="0" w:colLast="0" w:name="jjti50u6i3to" w:id="30"/>
    <w:bookmarkEnd w:id="30"/>
    <w:p w:rsidR="00000000" w:rsidDel="00000000" w:rsidP="00000000" w:rsidRDefault="00000000" w:rsidRPr="00000000" w14:paraId="0000005F">
      <w:pPr>
        <w:numPr>
          <w:ilvl w:val="1"/>
          <w:numId w:val="3"/>
        </w:numPr>
        <w:ind w:left="1440" w:hanging="360"/>
        <w:jc w:val="both"/>
        <w:rPr>
          <w:color w:val="1c1e21"/>
        </w:rPr>
      </w:pPr>
      <w:r w:rsidDel="00000000" w:rsidR="00000000" w:rsidRPr="00000000">
        <w:rPr>
          <w:b w:val="1"/>
          <w:color w:val="1c1e21"/>
          <w:rtl w:val="0"/>
        </w:rPr>
        <w:t xml:space="preserve">Onward Disclosure Obligations.</w:t>
      </w:r>
      <w:r w:rsidDel="00000000" w:rsidR="00000000" w:rsidRPr="00000000">
        <w:rPr>
          <w:color w:val="1c1e21"/>
          <w:rtl w:val="0"/>
        </w:rPr>
        <w:t xml:space="preserve">  To the extent permitted by the Advertising Purposes and the Agreement, if Receiving Party makes an onward disclosure of Personal Data provided to it by Disclosing Party, including through any Sale or Sharing of the Personal Data, Receiving Party will impose terms that are substantially similar to the terms imposed on Receiving Party by Section 4 (Mutual Processing Obligations) and this Section 5 (CCPA Third Party Terms).</w:t>
      </w:r>
    </w:p>
    <w:bookmarkStart w:colFirst="0" w:colLast="0" w:name="8ssrmtvc9616" w:id="31"/>
    <w:bookmarkEnd w:id="31"/>
    <w:p w:rsidR="00000000" w:rsidDel="00000000" w:rsidP="00000000" w:rsidRDefault="00000000" w:rsidRPr="00000000" w14:paraId="00000060">
      <w:pPr>
        <w:numPr>
          <w:ilvl w:val="0"/>
          <w:numId w:val="3"/>
        </w:numPr>
        <w:ind w:left="720" w:hanging="360"/>
        <w:jc w:val="both"/>
        <w:rPr>
          <w:b w:val="1"/>
          <w:color w:val="1c1e21"/>
        </w:rPr>
      </w:pPr>
      <w:r w:rsidDel="00000000" w:rsidR="00000000" w:rsidRPr="00000000">
        <w:rPr>
          <w:b w:val="1"/>
          <w:color w:val="1c1e21"/>
          <w:u w:val="single"/>
          <w:rtl w:val="0"/>
        </w:rPr>
        <w:t xml:space="preserve">Processor Obligations</w:t>
      </w:r>
      <w:r w:rsidDel="00000000" w:rsidR="00000000" w:rsidRPr="00000000">
        <w:rPr>
          <w:rtl w:val="0"/>
        </w:rPr>
      </w:r>
    </w:p>
    <w:bookmarkStart w:colFirst="0" w:colLast="0" w:name="66iv7q76eytg" w:id="32"/>
    <w:bookmarkEnd w:id="32"/>
    <w:p w:rsidR="00000000" w:rsidDel="00000000" w:rsidP="00000000" w:rsidRDefault="00000000" w:rsidRPr="00000000" w14:paraId="00000061">
      <w:pPr>
        <w:numPr>
          <w:ilvl w:val="1"/>
          <w:numId w:val="3"/>
        </w:numPr>
        <w:ind w:left="1440" w:hanging="360"/>
        <w:jc w:val="both"/>
        <w:rPr>
          <w:color w:val="1c1e21"/>
        </w:rPr>
      </w:pPr>
      <w:r w:rsidDel="00000000" w:rsidR="00000000" w:rsidRPr="00000000">
        <w:rPr>
          <w:b w:val="1"/>
          <w:color w:val="1c1e21"/>
          <w:rtl w:val="0"/>
        </w:rPr>
        <w:t xml:space="preserve">Applicability.</w:t>
      </w:r>
      <w:r w:rsidDel="00000000" w:rsidR="00000000" w:rsidRPr="00000000">
        <w:rPr>
          <w:color w:val="1c1e21"/>
          <w:rtl w:val="0"/>
        </w:rPr>
        <w:t xml:space="preserve">  This Section 6 (Processor Obligations) applies only to the extent Receiving Party Processes Personal Data with a Restricted Processing Signal present.  </w:t>
      </w:r>
    </w:p>
    <w:bookmarkStart w:colFirst="0" w:colLast="0" w:name="5ronah727noj" w:id="33"/>
    <w:bookmarkEnd w:id="33"/>
    <w:p w:rsidR="00000000" w:rsidDel="00000000" w:rsidP="00000000" w:rsidRDefault="00000000" w:rsidRPr="00000000" w14:paraId="00000062">
      <w:pPr>
        <w:numPr>
          <w:ilvl w:val="1"/>
          <w:numId w:val="3"/>
        </w:numPr>
        <w:ind w:left="1440" w:hanging="360"/>
        <w:jc w:val="both"/>
        <w:rPr>
          <w:color w:val="1c1e21"/>
        </w:rPr>
      </w:pPr>
      <w:r w:rsidDel="00000000" w:rsidR="00000000" w:rsidRPr="00000000">
        <w:rPr>
          <w:b w:val="1"/>
          <w:color w:val="1c1e21"/>
          <w:rtl w:val="0"/>
        </w:rPr>
        <w:t xml:space="preserve">Purpose Limitations.</w:t>
      </w:r>
      <w:r w:rsidDel="00000000" w:rsidR="00000000" w:rsidRPr="00000000">
        <w:rPr>
          <w:color w:val="1c1e21"/>
          <w:rtl w:val="0"/>
        </w:rPr>
        <w:t xml:space="preserve">  Receiving Party will Process Personal Data in accordance with its obligations in the Agreement and only for Restricted Purposes, as further described in Attachment 1.  Receiving Party will not:</w:t>
      </w:r>
    </w:p>
    <w:p w:rsidR="00000000" w:rsidDel="00000000" w:rsidP="00000000" w:rsidRDefault="00000000" w:rsidRPr="00000000" w14:paraId="00000063">
      <w:pPr>
        <w:numPr>
          <w:ilvl w:val="2"/>
          <w:numId w:val="3"/>
        </w:numPr>
        <w:ind w:left="2160" w:hanging="360"/>
        <w:jc w:val="both"/>
        <w:rPr>
          <w:color w:val="1c1e21"/>
        </w:rPr>
      </w:pPr>
      <w:r w:rsidDel="00000000" w:rsidR="00000000" w:rsidRPr="00000000">
        <w:rPr>
          <w:color w:val="1c1e21"/>
          <w:rtl w:val="0"/>
        </w:rPr>
        <w:t xml:space="preserve">Process Personal Data for Targeted Advertising purposes; or</w:t>
      </w:r>
    </w:p>
    <w:p w:rsidR="00000000" w:rsidDel="00000000" w:rsidP="00000000" w:rsidRDefault="00000000" w:rsidRPr="00000000" w14:paraId="00000064">
      <w:pPr>
        <w:numPr>
          <w:ilvl w:val="2"/>
          <w:numId w:val="3"/>
        </w:numPr>
        <w:ind w:left="2160" w:hanging="360"/>
        <w:jc w:val="both"/>
        <w:rPr>
          <w:color w:val="1c1e21"/>
        </w:rPr>
      </w:pPr>
      <w:r w:rsidDel="00000000" w:rsidR="00000000" w:rsidRPr="00000000">
        <w:rPr>
          <w:color w:val="1c1e21"/>
          <w:rtl w:val="0"/>
        </w:rPr>
        <w:t xml:space="preserve">Sell or Share Personal Data.</w:t>
      </w:r>
    </w:p>
    <w:bookmarkStart w:colFirst="0" w:colLast="0" w:name="47e4zo9c2gx" w:id="34"/>
    <w:bookmarkEnd w:id="34"/>
    <w:p w:rsidR="00000000" w:rsidDel="00000000" w:rsidP="00000000" w:rsidRDefault="00000000" w:rsidRPr="00000000" w14:paraId="00000065">
      <w:pPr>
        <w:numPr>
          <w:ilvl w:val="1"/>
          <w:numId w:val="3"/>
        </w:numPr>
        <w:ind w:left="1440" w:hanging="360"/>
        <w:jc w:val="both"/>
        <w:rPr>
          <w:color w:val="1c1e21"/>
        </w:rPr>
      </w:pPr>
      <w:r w:rsidDel="00000000" w:rsidR="00000000" w:rsidRPr="00000000">
        <w:rPr>
          <w:b w:val="1"/>
          <w:color w:val="1c1e21"/>
          <w:rtl w:val="0"/>
        </w:rPr>
        <w:t xml:space="preserve">Assistance.</w:t>
      </w:r>
      <w:r w:rsidDel="00000000" w:rsidR="00000000" w:rsidRPr="00000000">
        <w:rPr>
          <w:color w:val="1c1e21"/>
          <w:rtl w:val="0"/>
        </w:rPr>
        <w:t xml:space="preserve">  Receiving Party will assist Disclosing Party, </w:t>
      </w:r>
      <w:r w:rsidDel="00000000" w:rsidR="00000000" w:rsidRPr="00000000">
        <w:rPr>
          <w:color w:val="1c1e21"/>
          <w:rtl w:val="0"/>
        </w:rPr>
        <w:t xml:space="preserve">or the Controller on whose behalf Disclosing Party is acting, </w:t>
      </w:r>
      <w:r w:rsidDel="00000000" w:rsidR="00000000" w:rsidRPr="00000000">
        <w:rPr>
          <w:color w:val="1c1e21"/>
          <w:rtl w:val="0"/>
        </w:rPr>
        <w:t xml:space="preserve">with State Privacy Laws compliance by:</w:t>
      </w:r>
    </w:p>
    <w:p w:rsidR="00000000" w:rsidDel="00000000" w:rsidP="00000000" w:rsidRDefault="00000000" w:rsidRPr="00000000" w14:paraId="00000066">
      <w:pPr>
        <w:numPr>
          <w:ilvl w:val="2"/>
          <w:numId w:val="3"/>
        </w:numPr>
        <w:ind w:left="2160" w:hanging="360"/>
        <w:jc w:val="both"/>
        <w:rPr>
          <w:color w:val="1c1e21"/>
        </w:rPr>
      </w:pPr>
      <w:r w:rsidDel="00000000" w:rsidR="00000000" w:rsidRPr="00000000">
        <w:rPr>
          <w:color w:val="1c1e21"/>
          <w:rtl w:val="0"/>
        </w:rPr>
        <w:t xml:space="preserve">Assisting the Disclosing Party in responding to Consumer requests made pursuant to State Privacy Laws, provided that Disclosing Party must provide to Receiving Party all information necessary for it to provide such assistance or respond to a Consumer request when required by State Privacy Laws;</w:t>
      </w:r>
    </w:p>
    <w:p w:rsidR="00000000" w:rsidDel="00000000" w:rsidP="00000000" w:rsidRDefault="00000000" w:rsidRPr="00000000" w14:paraId="00000067">
      <w:pPr>
        <w:numPr>
          <w:ilvl w:val="2"/>
          <w:numId w:val="3"/>
        </w:numPr>
        <w:ind w:left="2160" w:hanging="360"/>
        <w:jc w:val="both"/>
        <w:rPr>
          <w:color w:val="1c1e21"/>
        </w:rPr>
      </w:pPr>
      <w:r w:rsidDel="00000000" w:rsidR="00000000" w:rsidRPr="00000000">
        <w:rPr>
          <w:color w:val="1c1e21"/>
          <w:rtl w:val="0"/>
        </w:rPr>
        <w:t xml:space="preserve">Contributing to data protection impact assessments where required by State Privacy Laws;</w:t>
      </w:r>
    </w:p>
    <w:p w:rsidR="00000000" w:rsidDel="00000000" w:rsidP="00000000" w:rsidRDefault="00000000" w:rsidRPr="00000000" w14:paraId="00000068">
      <w:pPr>
        <w:numPr>
          <w:ilvl w:val="2"/>
          <w:numId w:val="3"/>
        </w:numPr>
        <w:ind w:left="2160" w:hanging="360"/>
        <w:jc w:val="both"/>
        <w:rPr>
          <w:color w:val="1c1e21"/>
        </w:rPr>
      </w:pPr>
      <w:r w:rsidDel="00000000" w:rsidR="00000000" w:rsidRPr="00000000">
        <w:rPr>
          <w:color w:val="1c1e21"/>
          <w:rtl w:val="0"/>
        </w:rPr>
        <w:t xml:space="preserve">Offering reasonable notice and assistance to Disclosing Party in the event Receiving Party experiences a Data Breach, including to help Disclosing Party satisfy its Data Breach notification obligations under State Privacy Laws; and</w:t>
      </w:r>
    </w:p>
    <w:p w:rsidR="00000000" w:rsidDel="00000000" w:rsidP="00000000" w:rsidRDefault="00000000" w:rsidRPr="00000000" w14:paraId="00000069">
      <w:pPr>
        <w:numPr>
          <w:ilvl w:val="2"/>
          <w:numId w:val="3"/>
        </w:numPr>
        <w:ind w:left="2160" w:hanging="360"/>
        <w:jc w:val="both"/>
        <w:rPr>
          <w:color w:val="1c1e21"/>
        </w:rPr>
      </w:pPr>
      <w:r w:rsidDel="00000000" w:rsidR="00000000" w:rsidRPr="00000000">
        <w:rPr>
          <w:color w:val="1c1e21"/>
          <w:rtl w:val="0"/>
        </w:rPr>
        <w:t xml:space="preserve">Implementing reasonable security procedures and practices appropriate to the nature of the Personal Data and designed to protect such Personal Data from unauthorized or illegal access, destruction, use, modification, or disclosure in accordance with State Privacy Laws.</w:t>
      </w:r>
    </w:p>
    <w:bookmarkStart w:colFirst="0" w:colLast="0" w:name="hdypcsn913p2" w:id="35"/>
    <w:bookmarkEnd w:id="35"/>
    <w:p w:rsidR="00000000" w:rsidDel="00000000" w:rsidP="00000000" w:rsidRDefault="00000000" w:rsidRPr="00000000" w14:paraId="0000006A">
      <w:pPr>
        <w:numPr>
          <w:ilvl w:val="1"/>
          <w:numId w:val="3"/>
        </w:numPr>
        <w:ind w:left="1440" w:hanging="360"/>
        <w:jc w:val="both"/>
        <w:rPr>
          <w:color w:val="1c1e21"/>
        </w:rPr>
      </w:pPr>
      <w:r w:rsidDel="00000000" w:rsidR="00000000" w:rsidRPr="00000000">
        <w:rPr>
          <w:b w:val="1"/>
          <w:color w:val="1c1e21"/>
          <w:rtl w:val="0"/>
        </w:rPr>
        <w:t xml:space="preserve">Confidentiality.</w:t>
      </w:r>
      <w:r w:rsidDel="00000000" w:rsidR="00000000" w:rsidRPr="00000000">
        <w:rPr>
          <w:color w:val="1c1e21"/>
          <w:rtl w:val="0"/>
        </w:rPr>
        <w:t xml:space="preserve">  Receiving Party will treat Personal Data from Disclosing Party as confidential and subject each person that Processes such Personal Data to an appropriate obligation of confidentiality.</w:t>
      </w:r>
      <w:r w:rsidDel="00000000" w:rsidR="00000000" w:rsidRPr="00000000">
        <w:rPr>
          <w:rtl w:val="0"/>
        </w:rPr>
      </w:r>
    </w:p>
    <w:bookmarkStart w:colFirst="0" w:colLast="0" w:name="2fsekjmlq7pt" w:id="36"/>
    <w:bookmarkEnd w:id="36"/>
    <w:p w:rsidR="00000000" w:rsidDel="00000000" w:rsidP="00000000" w:rsidRDefault="00000000" w:rsidRPr="00000000" w14:paraId="0000006B">
      <w:pPr>
        <w:numPr>
          <w:ilvl w:val="1"/>
          <w:numId w:val="3"/>
        </w:numPr>
        <w:ind w:left="1440" w:hanging="360"/>
        <w:jc w:val="both"/>
        <w:rPr>
          <w:color w:val="1c1e21"/>
        </w:rPr>
      </w:pPr>
      <w:r w:rsidDel="00000000" w:rsidR="00000000" w:rsidRPr="00000000">
        <w:rPr>
          <w:b w:val="1"/>
          <w:color w:val="1c1e21"/>
          <w:rtl w:val="0"/>
        </w:rPr>
        <w:t xml:space="preserve">Further Disclosures.</w:t>
      </w:r>
      <w:r w:rsidDel="00000000" w:rsidR="00000000" w:rsidRPr="00000000">
        <w:rPr>
          <w:color w:val="1c1e21"/>
          <w:rtl w:val="0"/>
        </w:rPr>
        <w:t xml:space="preserve">  If Receiving Party further discloses Personal Data provided by Disclosing Party, Receiving Party will:</w:t>
      </w:r>
      <w:r w:rsidDel="00000000" w:rsidR="00000000" w:rsidRPr="00000000">
        <w:rPr>
          <w:rtl w:val="0"/>
        </w:rPr>
      </w:r>
    </w:p>
    <w:p w:rsidR="00000000" w:rsidDel="00000000" w:rsidP="00000000" w:rsidRDefault="00000000" w:rsidRPr="00000000" w14:paraId="0000006C">
      <w:pPr>
        <w:numPr>
          <w:ilvl w:val="2"/>
          <w:numId w:val="3"/>
        </w:numPr>
        <w:ind w:left="2160" w:hanging="360"/>
        <w:jc w:val="both"/>
        <w:rPr>
          <w:color w:val="1c1e21"/>
        </w:rPr>
      </w:pPr>
      <w:r w:rsidDel="00000000" w:rsidR="00000000" w:rsidRPr="00000000">
        <w:rPr>
          <w:color w:val="1c1e21"/>
          <w:rtl w:val="0"/>
        </w:rPr>
        <w:t xml:space="preserve">Ensure it has in place a written agreement with any such recipient that obligates the recipient to comply with terms at least as protective as the terms set out in this Section 6 (Processor Obligations); </w:t>
      </w:r>
    </w:p>
    <w:p w:rsidR="00000000" w:rsidDel="00000000" w:rsidP="00000000" w:rsidRDefault="00000000" w:rsidRPr="00000000" w14:paraId="0000006D">
      <w:pPr>
        <w:numPr>
          <w:ilvl w:val="2"/>
          <w:numId w:val="3"/>
        </w:numPr>
        <w:ind w:left="2160" w:hanging="360"/>
        <w:jc w:val="both"/>
        <w:rPr>
          <w:color w:val="1c1e21"/>
        </w:rPr>
      </w:pPr>
      <w:r w:rsidDel="00000000" w:rsidR="00000000" w:rsidRPr="00000000">
        <w:rPr>
          <w:color w:val="1c1e21"/>
          <w:rtl w:val="0"/>
        </w:rPr>
        <w:t xml:space="preserve">Ensure any Restricted Processing Signal is transmitted with the Personal Data to the recipient; and</w:t>
      </w:r>
    </w:p>
    <w:p w:rsidR="00000000" w:rsidDel="00000000" w:rsidP="00000000" w:rsidRDefault="00000000" w:rsidRPr="00000000" w14:paraId="0000006E">
      <w:pPr>
        <w:numPr>
          <w:ilvl w:val="2"/>
          <w:numId w:val="3"/>
        </w:numPr>
        <w:ind w:left="2160" w:hanging="360"/>
        <w:jc w:val="both"/>
        <w:rPr>
          <w:color w:val="1c1e21"/>
        </w:rPr>
      </w:pPr>
      <w:r w:rsidDel="00000000" w:rsidR="00000000" w:rsidRPr="00000000">
        <w:rPr>
          <w:color w:val="1c1e21"/>
          <w:rtl w:val="0"/>
        </w:rPr>
        <w:t xml:space="preserve">To the extent required by State Privacy Laws, provide Disclosing Party notice of the planned transmission to any subcontractor and an opportunity to object.</w:t>
      </w:r>
    </w:p>
    <w:bookmarkStart w:colFirst="0" w:colLast="0" w:name="s77d8t80p4a7" w:id="37"/>
    <w:bookmarkEnd w:id="37"/>
    <w:p w:rsidR="00000000" w:rsidDel="00000000" w:rsidP="00000000" w:rsidRDefault="00000000" w:rsidRPr="00000000" w14:paraId="0000006F">
      <w:pPr>
        <w:numPr>
          <w:ilvl w:val="1"/>
          <w:numId w:val="3"/>
        </w:numPr>
        <w:ind w:left="1440" w:hanging="360"/>
        <w:jc w:val="both"/>
        <w:rPr>
          <w:color w:val="1c1e21"/>
        </w:rPr>
      </w:pPr>
      <w:r w:rsidDel="00000000" w:rsidR="00000000" w:rsidRPr="00000000">
        <w:rPr>
          <w:b w:val="1"/>
          <w:color w:val="1c1e21"/>
          <w:rtl w:val="0"/>
        </w:rPr>
        <w:t xml:space="preserve">Deletion and Return of Personal Data.</w:t>
      </w:r>
      <w:r w:rsidDel="00000000" w:rsidR="00000000" w:rsidRPr="00000000">
        <w:rPr>
          <w:color w:val="1c1e21"/>
          <w:rtl w:val="0"/>
        </w:rPr>
        <w:t xml:space="preserve">  Upon the earlier of any request by Disclosing Party or without undue delay following termination of the Agreement, Data Recipient will delete, return, or de-identify in accordance with State Privacy Laws Personal Data provided to Receiving Party by Disclosing Party, unless retention of the Personal Data is required by applicable law.</w:t>
      </w:r>
    </w:p>
    <w:bookmarkStart w:colFirst="0" w:colLast="0" w:name="a49do674roa6" w:id="38"/>
    <w:bookmarkEnd w:id="38"/>
    <w:p w:rsidR="00000000" w:rsidDel="00000000" w:rsidP="00000000" w:rsidRDefault="00000000" w:rsidRPr="00000000" w14:paraId="00000070">
      <w:pPr>
        <w:numPr>
          <w:ilvl w:val="1"/>
          <w:numId w:val="3"/>
        </w:numPr>
        <w:ind w:left="1440" w:hanging="360"/>
        <w:jc w:val="both"/>
        <w:rPr>
          <w:color w:val="1c1e21"/>
        </w:rPr>
      </w:pPr>
      <w:r w:rsidDel="00000000" w:rsidR="00000000" w:rsidRPr="00000000">
        <w:rPr>
          <w:b w:val="1"/>
          <w:color w:val="1c1e21"/>
          <w:rtl w:val="0"/>
        </w:rPr>
        <w:t xml:space="preserve">Audits.  </w:t>
      </w:r>
      <w:r w:rsidDel="00000000" w:rsidR="00000000" w:rsidRPr="00000000">
        <w:rPr>
          <w:color w:val="1c1e21"/>
          <w:rtl w:val="0"/>
        </w:rPr>
        <w:t xml:space="preserve">Upon Disclosing Party’s reasonable request, Receiving Party will provide the following to Disclosing Party to enable Disclosing Party to audit Receiving Party’s compliance with this Section 6 (Processor Obligations):</w:t>
      </w:r>
    </w:p>
    <w:p w:rsidR="00000000" w:rsidDel="00000000" w:rsidP="00000000" w:rsidRDefault="00000000" w:rsidRPr="00000000" w14:paraId="00000071">
      <w:pPr>
        <w:numPr>
          <w:ilvl w:val="2"/>
          <w:numId w:val="3"/>
        </w:numPr>
        <w:ind w:left="2160" w:hanging="360"/>
        <w:jc w:val="both"/>
        <w:rPr>
          <w:color w:val="1c1e21"/>
        </w:rPr>
      </w:pPr>
      <w:r w:rsidDel="00000000" w:rsidR="00000000" w:rsidRPr="00000000">
        <w:rPr>
          <w:color w:val="1c1e21"/>
          <w:rtl w:val="0"/>
        </w:rPr>
        <w:t xml:space="preserve">A copy of a certificate issued within 12 months of the Disclosing Party’s Request reflecting the outcome of an audit conducted by an independent and qualified third-party auditor using an appropriate and accepted control standard or framework and audit procedure; or</w:t>
      </w:r>
    </w:p>
    <w:p w:rsidR="00000000" w:rsidDel="00000000" w:rsidP="00000000" w:rsidRDefault="00000000" w:rsidRPr="00000000" w14:paraId="00000072">
      <w:pPr>
        <w:numPr>
          <w:ilvl w:val="2"/>
          <w:numId w:val="3"/>
        </w:numPr>
        <w:ind w:left="2160" w:hanging="360"/>
        <w:jc w:val="both"/>
        <w:rPr>
          <w:color w:val="1c1e21"/>
        </w:rPr>
      </w:pPr>
      <w:r w:rsidDel="00000000" w:rsidR="00000000" w:rsidRPr="00000000">
        <w:rPr>
          <w:color w:val="1c1e21"/>
          <w:rtl w:val="0"/>
        </w:rPr>
        <w:t xml:space="preserve">Any other information or attestation the Parties agree is reasonably necessary for Disclosing Party to verify that Receiving Party’s Processing is consistent with Disclosing Party’s obligations under the CCPA.</w:t>
      </w:r>
    </w:p>
    <w:bookmarkStart w:colFirst="0" w:colLast="0" w:name="6dld58tmyyic" w:id="39"/>
    <w:bookmarkEnd w:id="39"/>
    <w:p w:rsidR="00000000" w:rsidDel="00000000" w:rsidP="00000000" w:rsidRDefault="00000000" w:rsidRPr="00000000" w14:paraId="00000073">
      <w:pPr>
        <w:numPr>
          <w:ilvl w:val="1"/>
          <w:numId w:val="3"/>
        </w:numPr>
        <w:ind w:left="1440" w:hanging="360"/>
        <w:jc w:val="both"/>
        <w:rPr>
          <w:color w:val="1c1e21"/>
        </w:rPr>
      </w:pPr>
      <w:r w:rsidDel="00000000" w:rsidR="00000000" w:rsidRPr="00000000">
        <w:rPr>
          <w:b w:val="1"/>
          <w:color w:val="1c1e21"/>
          <w:rtl w:val="0"/>
        </w:rPr>
        <w:t xml:space="preserve">Additional CCPA Processing Obligations</w:t>
      </w:r>
      <w:r w:rsidDel="00000000" w:rsidR="00000000" w:rsidRPr="00000000">
        <w:rPr>
          <w:b w:val="1"/>
          <w:color w:val="1c1e21"/>
          <w:rtl w:val="0"/>
        </w:rPr>
        <w:t xml:space="preserve">.</w:t>
      </w:r>
      <w:r w:rsidDel="00000000" w:rsidR="00000000" w:rsidRPr="00000000">
        <w:rPr>
          <w:color w:val="1c1e21"/>
          <w:rtl w:val="0"/>
        </w:rPr>
        <w:t xml:space="preserve">  If Personal Data provided to Receiving Party by Disclosing Party is subject to the CCPA, in addition to the obligations set out in Sections 6.1 - 6.7 above, Receiving Party will:</w:t>
      </w:r>
    </w:p>
    <w:p w:rsidR="00000000" w:rsidDel="00000000" w:rsidP="00000000" w:rsidRDefault="00000000" w:rsidRPr="00000000" w14:paraId="00000074">
      <w:pPr>
        <w:numPr>
          <w:ilvl w:val="2"/>
          <w:numId w:val="3"/>
        </w:numPr>
        <w:ind w:left="2160" w:hanging="360"/>
        <w:jc w:val="both"/>
        <w:rPr>
          <w:color w:val="1c1e21"/>
        </w:rPr>
      </w:pPr>
      <w:r w:rsidDel="00000000" w:rsidR="00000000" w:rsidRPr="00000000">
        <w:rPr>
          <w:color w:val="1c1e21"/>
          <w:rtl w:val="0"/>
        </w:rPr>
        <w:t xml:space="preserve">Not retain, use, or disclose the Personal Data outside of the direct business relationship with Disclosing Party or for any purpose, including Commercial Purposes, other than the Restricted Purposes, unless otherwise permitted by the CCPA.</w:t>
      </w:r>
    </w:p>
    <w:p w:rsidR="00000000" w:rsidDel="00000000" w:rsidP="00000000" w:rsidRDefault="00000000" w:rsidRPr="00000000" w14:paraId="00000075">
      <w:pPr>
        <w:numPr>
          <w:ilvl w:val="2"/>
          <w:numId w:val="3"/>
        </w:numPr>
        <w:ind w:left="2160" w:hanging="360"/>
        <w:jc w:val="both"/>
        <w:rPr>
          <w:color w:val="1c1e21"/>
        </w:rPr>
      </w:pPr>
      <w:r w:rsidDel="00000000" w:rsidR="00000000" w:rsidRPr="00000000">
        <w:rPr>
          <w:color w:val="1c1e21"/>
          <w:rtl w:val="0"/>
        </w:rPr>
        <w:t xml:space="preserve">Upon notice from Disclosing Party of its reasonable belief that Receiving Party is Processing Personal Data in an unauthorized manner, cooperate with Disclosing Party in good faith to stop or remediate the allegedly unauthorized use of such Personal Data, as necessary, such as by providing documentation verifying certain practices.</w:t>
      </w:r>
    </w:p>
    <w:p w:rsidR="00000000" w:rsidDel="00000000" w:rsidP="00000000" w:rsidRDefault="00000000" w:rsidRPr="00000000" w14:paraId="00000076">
      <w:pPr>
        <w:numPr>
          <w:ilvl w:val="2"/>
          <w:numId w:val="3"/>
        </w:numPr>
        <w:ind w:left="2160" w:hanging="360"/>
        <w:jc w:val="both"/>
        <w:rPr>
          <w:color w:val="1c1e21"/>
        </w:rPr>
      </w:pPr>
      <w:r w:rsidDel="00000000" w:rsidR="00000000" w:rsidRPr="00000000">
        <w:rPr>
          <w:color w:val="1c1e21"/>
          <w:rtl w:val="0"/>
        </w:rPr>
        <w:t xml:space="preserve">Notify the Disclosing Party without undue delay if Receiving Party determines it can no longer meet its obligations under the CCPA.</w:t>
      </w:r>
    </w:p>
    <w:p w:rsidR="00000000" w:rsidDel="00000000" w:rsidP="00000000" w:rsidRDefault="00000000" w:rsidRPr="00000000" w14:paraId="00000077">
      <w:pPr>
        <w:numPr>
          <w:ilvl w:val="2"/>
          <w:numId w:val="3"/>
        </w:numPr>
        <w:ind w:left="2160" w:hanging="360"/>
        <w:jc w:val="both"/>
        <w:rPr>
          <w:color w:val="1c1e21"/>
        </w:rPr>
      </w:pPr>
      <w:r w:rsidDel="00000000" w:rsidR="00000000" w:rsidRPr="00000000">
        <w:rPr>
          <w:color w:val="1c1e21"/>
          <w:rtl w:val="0"/>
        </w:rPr>
        <w:t xml:space="preserve">Except to Process for the Restricted Purposes or as otherwise permitted by the CCPA, not combine the Personal Data provided to Receiving Party by Disclosing Party with Personal Data received from or on behalf of another person or source or that Receiving Party collects from its own interactions with Consumers. </w:t>
      </w:r>
      <w:r w:rsidDel="00000000" w:rsidR="00000000" w:rsidRPr="00000000">
        <w:rPr>
          <w:color w:val="1c1e21"/>
          <w:rtl w:val="0"/>
        </w:rPr>
        <w:t xml:space="preserve">[Notwithstanding the foregoing and to the extent permitted by the CCPA, </w:t>
      </w:r>
      <w:r w:rsidDel="00000000" w:rsidR="00000000" w:rsidRPr="00000000">
        <w:rPr>
          <w:color w:val="1c1e21"/>
          <w:rtl w:val="0"/>
        </w:rPr>
        <w:t xml:space="preserve">Receiving Party may combine Personal Data from Disclosing Party with Personal Data provided to Receiving Party from an independent Business to the extent (i) Receiving Party is a Joint Processor to both Disclosing Party and the independent Business; and (ii) such independent Business has executed with Receiving Party terms substantially similar to the terms imposed on Receiving Party under this Section 6 (Processor Obligations).</w:t>
      </w:r>
      <w:r w:rsidDel="00000000" w:rsidR="00000000" w:rsidRPr="00000000">
        <w:rPr>
          <w:color w:val="1c1e21"/>
          <w:rtl w:val="0"/>
        </w:rPr>
        <w:t xml:space="preserve">]</w:t>
      </w:r>
      <w:r w:rsidDel="00000000" w:rsidR="00000000" w:rsidRPr="00000000">
        <w:rPr>
          <w:rtl w:val="0"/>
        </w:rPr>
      </w:r>
    </w:p>
    <w:bookmarkStart w:colFirst="0" w:colLast="0" w:name="y3w6ae3la21" w:id="40"/>
    <w:bookmarkEnd w:id="40"/>
    <w:p w:rsidR="00000000" w:rsidDel="00000000" w:rsidP="00000000" w:rsidRDefault="00000000" w:rsidRPr="00000000" w14:paraId="00000078">
      <w:pPr>
        <w:numPr>
          <w:ilvl w:val="0"/>
          <w:numId w:val="3"/>
        </w:numPr>
        <w:ind w:left="720" w:hanging="360"/>
        <w:jc w:val="both"/>
        <w:rPr>
          <w:b w:val="1"/>
          <w:color w:val="1c1e21"/>
        </w:rPr>
      </w:pPr>
      <w:r w:rsidDel="00000000" w:rsidR="00000000" w:rsidRPr="00000000">
        <w:rPr>
          <w:b w:val="1"/>
          <w:color w:val="1c1e21"/>
          <w:u w:val="single"/>
          <w:rtl w:val="0"/>
        </w:rPr>
        <w:t xml:space="preserve">Miscellaneous</w:t>
      </w:r>
      <w:r w:rsidDel="00000000" w:rsidR="00000000" w:rsidRPr="00000000">
        <w:rPr>
          <w:rtl w:val="0"/>
        </w:rPr>
      </w:r>
    </w:p>
    <w:bookmarkStart w:colFirst="0" w:colLast="0" w:name="9m2e9fvopl0q" w:id="41"/>
    <w:bookmarkEnd w:id="41"/>
    <w:p w:rsidR="00000000" w:rsidDel="00000000" w:rsidP="00000000" w:rsidRDefault="00000000" w:rsidRPr="00000000" w14:paraId="00000079">
      <w:pPr>
        <w:numPr>
          <w:ilvl w:val="1"/>
          <w:numId w:val="3"/>
        </w:numPr>
        <w:ind w:left="1440" w:hanging="360"/>
        <w:jc w:val="both"/>
        <w:rPr>
          <w:color w:val="1c1e21"/>
        </w:rPr>
      </w:pPr>
      <w:r w:rsidDel="00000000" w:rsidR="00000000" w:rsidRPr="00000000">
        <w:rPr>
          <w:b w:val="1"/>
          <w:color w:val="1c1e21"/>
          <w:rtl w:val="0"/>
        </w:rPr>
        <w:t xml:space="preserve">Conflicts.</w:t>
      </w:r>
      <w:r w:rsidDel="00000000" w:rsidR="00000000" w:rsidRPr="00000000">
        <w:rPr>
          <w:color w:val="1c1e21"/>
          <w:rtl w:val="0"/>
        </w:rPr>
        <w:t xml:space="preserve">  Except as provided in Section 5.2, if there is any inconsistency or conflict between this Addendum and the Agreement, then this Addendum will govern, regardless of whether any language in the Agreement purports to state that the Agreement is the controlling document.  The provisions of this Addendum may not be amended, except by an agreement to specifically amend this Addendum in writing signed by the Parties.</w:t>
      </w:r>
    </w:p>
    <w:bookmarkStart w:colFirst="0" w:colLast="0" w:name="23ov4gpqq0m2" w:id="42"/>
    <w:bookmarkEnd w:id="42"/>
    <w:p w:rsidR="00000000" w:rsidDel="00000000" w:rsidP="00000000" w:rsidRDefault="00000000" w:rsidRPr="00000000" w14:paraId="0000007A">
      <w:pPr>
        <w:numPr>
          <w:ilvl w:val="1"/>
          <w:numId w:val="3"/>
        </w:numPr>
        <w:ind w:left="1440" w:hanging="360"/>
        <w:jc w:val="both"/>
        <w:rPr>
          <w:color w:val="1c1e21"/>
        </w:rPr>
      </w:pPr>
      <w:r w:rsidDel="00000000" w:rsidR="00000000" w:rsidRPr="00000000">
        <w:rPr>
          <w:b w:val="1"/>
          <w:color w:val="1c1e21"/>
          <w:rtl w:val="0"/>
        </w:rPr>
        <w:t xml:space="preserve">Counterparts.</w:t>
      </w:r>
      <w:r w:rsidDel="00000000" w:rsidR="00000000" w:rsidRPr="00000000">
        <w:rPr>
          <w:color w:val="1c1e21"/>
          <w:rtl w:val="0"/>
        </w:rPr>
        <w:t xml:space="preserve">  This Addendum may be executed in several counterparts (including delivery via facsimile or electronic mail), each of which will be deemed to be an original but all of which together will constitute one and the same instrument.</w:t>
      </w:r>
    </w:p>
    <w:bookmarkStart w:colFirst="0" w:colLast="0" w:name="hordcm2u2p94" w:id="43"/>
    <w:bookmarkEnd w:id="43"/>
    <w:p w:rsidR="00000000" w:rsidDel="00000000" w:rsidP="00000000" w:rsidRDefault="00000000" w:rsidRPr="00000000" w14:paraId="0000007B">
      <w:pPr>
        <w:numPr>
          <w:ilvl w:val="1"/>
          <w:numId w:val="3"/>
        </w:numPr>
        <w:ind w:left="1440" w:hanging="360"/>
        <w:jc w:val="both"/>
        <w:rPr>
          <w:b w:val="1"/>
          <w:color w:val="1c1e21"/>
        </w:rPr>
      </w:pPr>
      <w:r w:rsidDel="00000000" w:rsidR="00000000" w:rsidRPr="00000000">
        <w:rPr>
          <w:b w:val="1"/>
          <w:color w:val="1c1e21"/>
          <w:rtl w:val="0"/>
        </w:rPr>
        <w:t xml:space="preserve">Amendment</w:t>
      </w:r>
      <w:r w:rsidDel="00000000" w:rsidR="00000000" w:rsidRPr="00000000">
        <w:rPr>
          <w:color w:val="1c1e21"/>
          <w:rtl w:val="0"/>
        </w:rPr>
        <w:t xml:space="preserve">. [</w:t>
      </w:r>
      <w:r w:rsidDel="00000000" w:rsidR="00000000" w:rsidRPr="00000000">
        <w:rPr>
          <w:b w:val="1"/>
          <w:color w:val="1c1e21"/>
          <w:rtl w:val="0"/>
        </w:rPr>
        <w:t xml:space="preserve">Option 1</w:t>
      </w:r>
      <w:r w:rsidDel="00000000" w:rsidR="00000000" w:rsidRPr="00000000">
        <w:rPr>
          <w:color w:val="1c1e21"/>
          <w:rtl w:val="0"/>
        </w:rPr>
        <w:t xml:space="preserve">: This Addendum may not be amended except in a writing executed by both Parties.] [</w:t>
      </w:r>
      <w:r w:rsidDel="00000000" w:rsidR="00000000" w:rsidRPr="00000000">
        <w:rPr>
          <w:b w:val="1"/>
          <w:color w:val="1c1e21"/>
          <w:rtl w:val="0"/>
        </w:rPr>
        <w:t xml:space="preserve">Option 2</w:t>
      </w:r>
      <w:r w:rsidDel="00000000" w:rsidR="00000000" w:rsidRPr="00000000">
        <w:rPr>
          <w:color w:val="1c1e21"/>
          <w:rtl w:val="0"/>
        </w:rPr>
        <w:t xml:space="preserve">: If the NAI issues updates its Template State Laws Processing Addendum (“</w:t>
      </w:r>
      <w:r w:rsidDel="00000000" w:rsidR="00000000" w:rsidRPr="00000000">
        <w:rPr>
          <w:b w:val="1"/>
          <w:color w:val="1c1e21"/>
          <w:rtl w:val="0"/>
        </w:rPr>
        <w:t xml:space="preserve">Template</w:t>
      </w:r>
      <w:r w:rsidDel="00000000" w:rsidR="00000000" w:rsidRPr="00000000">
        <w:rPr>
          <w:color w:val="1c1e21"/>
          <w:rtl w:val="0"/>
        </w:rPr>
        <w:t xml:space="preserve">”) to account for changes in State Privacy Laws, new laws concerning privacy or data security, or changes in the legal landscape based on enforcement or guidance related to State Privacy Laws, the Parties agree such updates to the Template will apply to this Addendum automatically as of the date such updates take effect to the Template.]  </w:t>
      </w:r>
      <w:r w:rsidDel="00000000" w:rsidR="00000000" w:rsidRPr="00000000">
        <w:rPr>
          <w:rtl w:val="0"/>
        </w:rPr>
      </w:r>
    </w:p>
    <w:bookmarkStart w:colFirst="0" w:colLast="0" w:name="1x30b0x535oz" w:id="44"/>
    <w:bookmarkEnd w:id="44"/>
    <w:p w:rsidR="00000000" w:rsidDel="00000000" w:rsidP="00000000" w:rsidRDefault="00000000" w:rsidRPr="00000000" w14:paraId="0000007C">
      <w:pPr>
        <w:numPr>
          <w:ilvl w:val="1"/>
          <w:numId w:val="3"/>
        </w:numPr>
        <w:ind w:left="1440" w:hanging="360"/>
        <w:jc w:val="both"/>
        <w:rPr>
          <w:color w:val="1c1e21"/>
        </w:rPr>
      </w:pPr>
      <w:r w:rsidDel="00000000" w:rsidR="00000000" w:rsidRPr="00000000">
        <w:rPr>
          <w:b w:val="1"/>
          <w:color w:val="1c1e21"/>
          <w:rtl w:val="0"/>
        </w:rPr>
        <w:t xml:space="preserve">Survival.</w:t>
      </w:r>
      <w:r w:rsidDel="00000000" w:rsidR="00000000" w:rsidRPr="00000000">
        <w:rPr>
          <w:color w:val="1c1e21"/>
          <w:rtl w:val="0"/>
        </w:rPr>
        <w:t xml:space="preserve">  This Addendum will survive any expiration or termination of the Agreement.  </w:t>
      </w:r>
    </w:p>
    <w:p w:rsidR="00000000" w:rsidDel="00000000" w:rsidP="00000000" w:rsidRDefault="00000000" w:rsidRPr="00000000" w14:paraId="0000007D">
      <w:pPr>
        <w:jc w:val="both"/>
        <w:rPr>
          <w:color w:val="1c1e21"/>
        </w:rPr>
      </w:pPr>
      <w:r w:rsidDel="00000000" w:rsidR="00000000" w:rsidRPr="00000000">
        <w:rPr>
          <w:rtl w:val="0"/>
        </w:rPr>
      </w:r>
    </w:p>
    <w:p w:rsidR="00000000" w:rsidDel="00000000" w:rsidP="00000000" w:rsidRDefault="00000000" w:rsidRPr="00000000" w14:paraId="0000007E">
      <w:pPr>
        <w:jc w:val="both"/>
        <w:rPr>
          <w:color w:val="1c1e21"/>
        </w:rPr>
      </w:pPr>
      <w:r w:rsidDel="00000000" w:rsidR="00000000" w:rsidRPr="00000000">
        <w:rPr>
          <w:color w:val="1c1e21"/>
          <w:rtl w:val="0"/>
        </w:rPr>
        <w:t xml:space="preserve">IN WITNESS WHEREOF, each Party has caused this Addendum to be signed and delivered by its duly authorized representative.</w:t>
      </w:r>
    </w:p>
    <w:p w:rsidR="00000000" w:rsidDel="00000000" w:rsidP="00000000" w:rsidRDefault="00000000" w:rsidRPr="00000000" w14:paraId="0000007F">
      <w:pPr>
        <w:jc w:val="both"/>
        <w:rPr>
          <w:color w:val="1c1e21"/>
          <w:u w:val="single"/>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color w:val="1c1e21"/>
              </w:rPr>
            </w:pPr>
            <w:r w:rsidDel="00000000" w:rsidR="00000000" w:rsidRPr="00000000">
              <w:rPr>
                <w:rtl w:val="0"/>
              </w:rPr>
            </w:r>
          </w:p>
          <w:p w:rsidR="00000000" w:rsidDel="00000000" w:rsidP="00000000" w:rsidRDefault="00000000" w:rsidRPr="00000000" w14:paraId="00000081">
            <w:pPr>
              <w:widowControl w:val="0"/>
              <w:spacing w:line="240" w:lineRule="auto"/>
              <w:rPr>
                <w:color w:val="1c1e21"/>
              </w:rPr>
            </w:pPr>
            <w:r w:rsidDel="00000000" w:rsidR="00000000" w:rsidRPr="00000000">
              <w:rPr>
                <w:color w:val="1c1e21"/>
                <w:rtl w:val="0"/>
              </w:rPr>
              <w:t xml:space="preserve">[insert name of Party 1]</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color w:val="1c1e21"/>
              </w:rPr>
            </w:pPr>
            <w:r w:rsidDel="00000000" w:rsidR="00000000" w:rsidRPr="00000000">
              <w:rPr>
                <w:rtl w:val="0"/>
              </w:rPr>
            </w:r>
          </w:p>
          <w:p w:rsidR="00000000" w:rsidDel="00000000" w:rsidP="00000000" w:rsidRDefault="00000000" w:rsidRPr="00000000" w14:paraId="00000083">
            <w:pPr>
              <w:widowControl w:val="0"/>
              <w:spacing w:line="240" w:lineRule="auto"/>
              <w:rPr>
                <w:color w:val="1c1e21"/>
              </w:rPr>
            </w:pPr>
            <w:r w:rsidDel="00000000" w:rsidR="00000000" w:rsidRPr="00000000">
              <w:rPr>
                <w:color w:val="1c1e21"/>
                <w:rtl w:val="0"/>
              </w:rPr>
              <w:t xml:space="preserve">[insert name of Party 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jc w:val="both"/>
              <w:rPr>
                <w:color w:val="1c1e21"/>
                <w:u w:val="single"/>
              </w:rPr>
            </w:pPr>
            <w:r w:rsidDel="00000000" w:rsidR="00000000" w:rsidRPr="00000000">
              <w:rPr>
                <w:color w:val="1c1e21"/>
                <w:u w:val="single"/>
                <w:rtl w:val="0"/>
              </w:rPr>
              <w:tab/>
              <w:tab/>
              <w:tab/>
              <w:tab/>
              <w:tab/>
              <w:tab/>
            </w:r>
          </w:p>
        </w:tc>
        <w:tc>
          <w:tcPr>
            <w:shd w:fill="auto" w:val="clear"/>
            <w:tcMar>
              <w:top w:w="100.0" w:type="dxa"/>
              <w:left w:w="100.0" w:type="dxa"/>
              <w:bottom w:w="100.0" w:type="dxa"/>
              <w:right w:w="100.0" w:type="dxa"/>
            </w:tcMar>
          </w:tcPr>
          <w:p w:rsidR="00000000" w:rsidDel="00000000" w:rsidP="00000000" w:rsidRDefault="00000000" w:rsidRPr="00000000" w14:paraId="00000085">
            <w:pPr>
              <w:jc w:val="both"/>
              <w:rPr>
                <w:color w:val="1c1e21"/>
              </w:rPr>
            </w:pPr>
            <w:r w:rsidDel="00000000" w:rsidR="00000000" w:rsidRPr="00000000">
              <w:rPr>
                <w:color w:val="1c1e21"/>
                <w:u w:val="single"/>
                <w:rtl w:val="0"/>
              </w:rPr>
              <w:tab/>
              <w:tab/>
              <w:tab/>
              <w:tab/>
              <w:tab/>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color w:val="1c1e21"/>
              </w:rPr>
            </w:pPr>
            <w:r w:rsidDel="00000000" w:rsidR="00000000" w:rsidRPr="00000000">
              <w:rPr>
                <w:color w:val="1c1e21"/>
                <w:rtl w:val="0"/>
              </w:rPr>
              <w:t xml:space="preserve">By: </w:t>
            </w:r>
            <w:r w:rsidDel="00000000" w:rsidR="00000000" w:rsidRPr="00000000">
              <w:rPr>
                <w:color w:val="1c1e21"/>
                <w:u w:val="single"/>
                <w:rtl w:val="0"/>
              </w:rPr>
              <w:tab/>
              <w:tab/>
              <w:tab/>
              <w:tab/>
              <w:tab/>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color w:val="1c1e21"/>
              </w:rPr>
            </w:pPr>
            <w:r w:rsidDel="00000000" w:rsidR="00000000" w:rsidRPr="00000000">
              <w:rPr>
                <w:color w:val="1c1e21"/>
                <w:rtl w:val="0"/>
              </w:rPr>
              <w:t xml:space="preserve">By: </w:t>
            </w:r>
            <w:r w:rsidDel="00000000" w:rsidR="00000000" w:rsidRPr="00000000">
              <w:rPr>
                <w:color w:val="1c1e21"/>
                <w:u w:val="single"/>
                <w:rtl w:val="0"/>
              </w:rPr>
              <w:tab/>
              <w:tab/>
              <w:tab/>
              <w:tab/>
              <w:tab/>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color w:val="1c1e21"/>
              </w:rPr>
            </w:pPr>
            <w:r w:rsidDel="00000000" w:rsidR="00000000" w:rsidRPr="00000000">
              <w:rPr>
                <w:color w:val="1c1e21"/>
                <w:rtl w:val="0"/>
              </w:rPr>
              <w:t xml:space="preserve">Name: </w:t>
            </w:r>
            <w:r w:rsidDel="00000000" w:rsidR="00000000" w:rsidRPr="00000000">
              <w:rPr>
                <w:color w:val="1c1e21"/>
                <w:u w:val="single"/>
                <w:rtl w:val="0"/>
              </w:rPr>
              <w:tab/>
              <w:tab/>
              <w:tab/>
              <w:tab/>
              <w:tab/>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color w:val="1c1e21"/>
              </w:rPr>
            </w:pPr>
            <w:r w:rsidDel="00000000" w:rsidR="00000000" w:rsidRPr="00000000">
              <w:rPr>
                <w:color w:val="1c1e21"/>
                <w:rtl w:val="0"/>
              </w:rPr>
              <w:t xml:space="preserve">Name: </w:t>
            </w:r>
            <w:r w:rsidDel="00000000" w:rsidR="00000000" w:rsidRPr="00000000">
              <w:rPr>
                <w:color w:val="1c1e21"/>
                <w:u w:val="single"/>
                <w:rtl w:val="0"/>
              </w:rPr>
              <w:tab/>
              <w:tab/>
              <w:tab/>
              <w:tab/>
              <w:tab/>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color w:val="1c1e21"/>
              </w:rPr>
            </w:pPr>
            <w:r w:rsidDel="00000000" w:rsidR="00000000" w:rsidRPr="00000000">
              <w:rPr>
                <w:color w:val="1c1e21"/>
                <w:rtl w:val="0"/>
              </w:rPr>
              <w:t xml:space="preserve">Title: </w:t>
            </w:r>
            <w:r w:rsidDel="00000000" w:rsidR="00000000" w:rsidRPr="00000000">
              <w:rPr>
                <w:color w:val="1c1e21"/>
                <w:u w:val="single"/>
                <w:rtl w:val="0"/>
              </w:rPr>
              <w:tab/>
              <w:tab/>
              <w:tab/>
              <w:tab/>
              <w:tab/>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color w:val="1c1e21"/>
              </w:rPr>
            </w:pPr>
            <w:r w:rsidDel="00000000" w:rsidR="00000000" w:rsidRPr="00000000">
              <w:rPr>
                <w:color w:val="1c1e21"/>
                <w:rtl w:val="0"/>
              </w:rPr>
              <w:t xml:space="preserve">Title: </w:t>
            </w:r>
            <w:r w:rsidDel="00000000" w:rsidR="00000000" w:rsidRPr="00000000">
              <w:rPr>
                <w:color w:val="1c1e21"/>
                <w:u w:val="single"/>
                <w:rtl w:val="0"/>
              </w:rPr>
              <w:tab/>
              <w:tab/>
              <w:tab/>
              <w:tab/>
              <w:tab/>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color w:val="1c1e21"/>
              </w:rPr>
            </w:pPr>
            <w:r w:rsidDel="00000000" w:rsidR="00000000" w:rsidRPr="00000000">
              <w:rPr>
                <w:color w:val="1c1e21"/>
                <w:rtl w:val="0"/>
              </w:rPr>
              <w:t xml:space="preserve">Date: </w:t>
            </w:r>
            <w:r w:rsidDel="00000000" w:rsidR="00000000" w:rsidRPr="00000000">
              <w:rPr>
                <w:color w:val="1c1e21"/>
                <w:u w:val="single"/>
                <w:rtl w:val="0"/>
              </w:rPr>
              <w:tab/>
              <w:tab/>
              <w:tab/>
              <w:tab/>
              <w:tab/>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color w:val="1c1e21"/>
              </w:rPr>
            </w:pPr>
            <w:r w:rsidDel="00000000" w:rsidR="00000000" w:rsidRPr="00000000">
              <w:rPr>
                <w:color w:val="1c1e21"/>
                <w:rtl w:val="0"/>
              </w:rPr>
              <w:t xml:space="preserve">Date: </w:t>
            </w:r>
            <w:r w:rsidDel="00000000" w:rsidR="00000000" w:rsidRPr="00000000">
              <w:rPr>
                <w:color w:val="1c1e21"/>
                <w:u w:val="single"/>
                <w:rtl w:val="0"/>
              </w:rPr>
              <w:tab/>
              <w:tab/>
              <w:tab/>
              <w:tab/>
              <w:tab/>
              <w:tab/>
            </w:r>
            <w:r w:rsidDel="00000000" w:rsidR="00000000" w:rsidRPr="00000000">
              <w:rPr>
                <w:rtl w:val="0"/>
              </w:rPr>
            </w:r>
          </w:p>
        </w:tc>
      </w:tr>
    </w:tbl>
    <w:p w:rsidR="00000000" w:rsidDel="00000000" w:rsidP="00000000" w:rsidRDefault="00000000" w:rsidRPr="00000000" w14:paraId="0000008E">
      <w:pPr>
        <w:rPr>
          <w:color w:val="1c1e21"/>
        </w:rPr>
      </w:pPr>
      <w:r w:rsidDel="00000000" w:rsidR="00000000" w:rsidRPr="00000000">
        <w:br w:type="page"/>
      </w:r>
      <w:r w:rsidDel="00000000" w:rsidR="00000000" w:rsidRPr="00000000">
        <w:rPr>
          <w:rtl w:val="0"/>
        </w:rPr>
      </w:r>
    </w:p>
    <w:p w:rsidR="00000000" w:rsidDel="00000000" w:rsidP="00000000" w:rsidRDefault="00000000" w:rsidRPr="00000000" w14:paraId="0000008F">
      <w:pPr>
        <w:jc w:val="center"/>
        <w:rPr>
          <w:b w:val="1"/>
          <w:color w:val="1c1e21"/>
        </w:rPr>
      </w:pPr>
      <w:r w:rsidDel="00000000" w:rsidR="00000000" w:rsidRPr="00000000">
        <w:rPr>
          <w:b w:val="1"/>
          <w:color w:val="1c1e21"/>
          <w:rtl w:val="0"/>
        </w:rPr>
        <w:t xml:space="preserve">ATTACHMENT 1:  DESCRIPTION OF PROCESSING</w:t>
      </w:r>
    </w:p>
    <w:p w:rsidR="00000000" w:rsidDel="00000000" w:rsidP="00000000" w:rsidRDefault="00000000" w:rsidRPr="00000000" w14:paraId="00000090">
      <w:pPr>
        <w:jc w:val="center"/>
        <w:rPr>
          <w:b w:val="1"/>
          <w:color w:val="1c1e21"/>
        </w:rPr>
      </w:pPr>
      <w:r w:rsidDel="00000000" w:rsidR="00000000" w:rsidRPr="00000000">
        <w:rPr>
          <w:rtl w:val="0"/>
        </w:rPr>
      </w:r>
    </w:p>
    <w:p w:rsidR="00000000" w:rsidDel="00000000" w:rsidP="00000000" w:rsidRDefault="00000000" w:rsidRPr="00000000" w14:paraId="00000091">
      <w:pPr>
        <w:numPr>
          <w:ilvl w:val="0"/>
          <w:numId w:val="4"/>
        </w:numPr>
        <w:ind w:left="720" w:hanging="360"/>
        <w:jc w:val="both"/>
        <w:rPr>
          <w:b w:val="1"/>
          <w:color w:val="1c1e21"/>
        </w:rPr>
      </w:pPr>
      <w:r w:rsidDel="00000000" w:rsidR="00000000" w:rsidRPr="00000000">
        <w:rPr>
          <w:b w:val="1"/>
          <w:color w:val="1c1e21"/>
          <w:u w:val="single"/>
          <w:rtl w:val="0"/>
        </w:rPr>
        <w:t xml:space="preserve">Description of Processing</w:t>
      </w:r>
      <w:r w:rsidDel="00000000" w:rsidR="00000000" w:rsidRPr="00000000">
        <w:rPr>
          <w:rtl w:val="0"/>
        </w:rPr>
      </w:r>
    </w:p>
    <w:p w:rsidR="00000000" w:rsidDel="00000000" w:rsidP="00000000" w:rsidRDefault="00000000" w:rsidRPr="00000000" w14:paraId="00000092">
      <w:pPr>
        <w:numPr>
          <w:ilvl w:val="1"/>
          <w:numId w:val="4"/>
        </w:numPr>
        <w:ind w:left="1440" w:hanging="360"/>
        <w:jc w:val="both"/>
        <w:rPr>
          <w:color w:val="1c1e21"/>
        </w:rPr>
      </w:pPr>
      <w:r w:rsidDel="00000000" w:rsidR="00000000" w:rsidRPr="00000000">
        <w:rPr>
          <w:b w:val="1"/>
          <w:color w:val="1c1e21"/>
          <w:rtl w:val="0"/>
        </w:rPr>
        <w:t xml:space="preserve">Nature and Purpose of Processing.</w:t>
      </w:r>
      <w:r w:rsidDel="00000000" w:rsidR="00000000" w:rsidRPr="00000000">
        <w:rPr>
          <w:color w:val="1c1e21"/>
          <w:rtl w:val="0"/>
        </w:rPr>
        <w:t xml:space="preserve">  Data Recipient Processes the Personal Data provided to Data Recipient by Data Provider for the Restricted Purposes, as further described in this Addendum, including for [insert examples of specific Restricted Purposes, such as frequency capping, measurement, fraud detection and prevention, and ensuring and measuring viewability].</w:t>
      </w:r>
    </w:p>
    <w:p w:rsidR="00000000" w:rsidDel="00000000" w:rsidP="00000000" w:rsidRDefault="00000000" w:rsidRPr="00000000" w14:paraId="00000093">
      <w:pPr>
        <w:numPr>
          <w:ilvl w:val="1"/>
          <w:numId w:val="4"/>
        </w:numPr>
        <w:ind w:left="1440" w:hanging="360"/>
        <w:jc w:val="both"/>
        <w:rPr>
          <w:color w:val="1c1e21"/>
        </w:rPr>
      </w:pPr>
      <w:r w:rsidDel="00000000" w:rsidR="00000000" w:rsidRPr="00000000">
        <w:rPr>
          <w:b w:val="1"/>
          <w:color w:val="1c1e21"/>
          <w:rtl w:val="0"/>
        </w:rPr>
        <w:t xml:space="preserve">Types of Personal Data Processed.</w:t>
      </w:r>
      <w:r w:rsidDel="00000000" w:rsidR="00000000" w:rsidRPr="00000000">
        <w:rPr>
          <w:color w:val="1c1e21"/>
          <w:rtl w:val="0"/>
        </w:rPr>
        <w:t xml:space="preserve">  [Insert types of Personal Data Processed, such as device IDs, IP addresses, browsing information, etc.]</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559.055118110236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pict>
        <v:shape id="PowerPlusWaterMarkObject1" style="position:absolute;width:575.0pt;height:86.85pt;rotation:315;z-index:-503316481;mso-position-horizontal-relative:margin;mso-position-horizontal:center;mso-position-vertical-relative:margin;mso-position-vertical:center;" fillcolor="#e8eaed" stroked="f" type="#_x0000_t136">
          <v:fill angle="0" opacity="65536f"/>
          <v:textpath fitshape="t" string="CONFIDENTIAL "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